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11" w:rsidRDefault="00A900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Дополнительное соглашение № 1</w:t>
      </w:r>
    </w:p>
    <w:p w:rsidR="00BC7211" w:rsidRDefault="00A90041">
      <w:pPr>
        <w:pStyle w:val="a5"/>
        <w:ind w:right="142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</w:t>
      </w:r>
    </w:p>
    <w:p w:rsidR="00BC7211" w:rsidRDefault="00A90041">
      <w:pPr>
        <w:pStyle w:val="a5"/>
        <w:ind w:right="142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28.12.2024г.</w:t>
      </w:r>
    </w:p>
    <w:p w:rsidR="00BC7211" w:rsidRDefault="00BC7211">
      <w:pPr>
        <w:pStyle w:val="a5"/>
        <w:ind w:right="142" w:firstLine="708"/>
        <w:contextualSpacing/>
        <w:jc w:val="center"/>
        <w:rPr>
          <w:sz w:val="28"/>
          <w:szCs w:val="28"/>
        </w:rPr>
      </w:pPr>
    </w:p>
    <w:p w:rsidR="00BC7211" w:rsidRDefault="00A90041">
      <w:pPr>
        <w:pStyle w:val="a5"/>
        <w:ind w:left="142" w:right="142" w:firstLine="142"/>
        <w:rPr>
          <w:sz w:val="28"/>
          <w:szCs w:val="28"/>
        </w:rPr>
      </w:pPr>
      <w:r>
        <w:rPr>
          <w:sz w:val="28"/>
          <w:szCs w:val="28"/>
        </w:rPr>
        <w:t xml:space="preserve">г. Иркутск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24» января 2025 г.</w:t>
      </w:r>
    </w:p>
    <w:p w:rsidR="00BC7211" w:rsidRDefault="00BC7211">
      <w:pPr>
        <w:pStyle w:val="a5"/>
        <w:ind w:right="142" w:firstLine="708"/>
        <w:contextualSpacing/>
        <w:jc w:val="both"/>
        <w:rPr>
          <w:sz w:val="28"/>
          <w:szCs w:val="28"/>
        </w:rPr>
      </w:pPr>
    </w:p>
    <w:p w:rsidR="00BC7211" w:rsidRDefault="00A90041">
      <w:pPr>
        <w:pStyle w:val="a5"/>
        <w:spacing w:before="240" w:line="276" w:lineRule="auto"/>
        <w:ind w:righ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Модестов Андрей Арсеньевич – министр здравоохранения Иркутской области;</w:t>
      </w:r>
    </w:p>
    <w:p w:rsidR="00BC7211" w:rsidRDefault="00A90041">
      <w:pPr>
        <w:pStyle w:val="a5"/>
        <w:spacing w:before="240" w:line="276" w:lineRule="auto"/>
        <w:ind w:righ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Градобоев</w:t>
      </w:r>
      <w:proofErr w:type="spellEnd"/>
      <w:r>
        <w:rPr>
          <w:sz w:val="28"/>
          <w:szCs w:val="28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:rsidR="00BC7211" w:rsidRDefault="00A90041">
      <w:pPr>
        <w:pStyle w:val="a5"/>
        <w:spacing w:before="240" w:line="276" w:lineRule="auto"/>
        <w:ind w:righ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Кристина </w:t>
      </w:r>
      <w:proofErr w:type="spellStart"/>
      <w:r>
        <w:rPr>
          <w:sz w:val="28"/>
          <w:szCs w:val="28"/>
        </w:rPr>
        <w:t>Вилорьевна</w:t>
      </w:r>
      <w:proofErr w:type="spellEnd"/>
      <w:r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BC7211" w:rsidRDefault="00A90041">
      <w:pPr>
        <w:pStyle w:val="a5"/>
        <w:spacing w:before="240" w:line="276" w:lineRule="auto"/>
        <w:ind w:righ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BC7211" w:rsidRDefault="00A90041">
      <w:pPr>
        <w:pStyle w:val="a5"/>
        <w:spacing w:before="240" w:line="276" w:lineRule="auto"/>
        <w:ind w:right="142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Гайдаров Гайдар </w:t>
      </w:r>
      <w:proofErr w:type="spellStart"/>
      <w:r>
        <w:rPr>
          <w:sz w:val="28"/>
          <w:szCs w:val="28"/>
        </w:rPr>
        <w:t>Мамедович</w:t>
      </w:r>
      <w:proofErr w:type="spellEnd"/>
      <w:r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BC7211" w:rsidRDefault="00A90041">
      <w:pPr>
        <w:pStyle w:val="a5"/>
        <w:spacing w:line="240" w:lineRule="atLeast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28 декабря 2024 года (далее – Дополнительное соглашение) о нижеследующем: </w:t>
      </w:r>
    </w:p>
    <w:p w:rsidR="00BC7211" w:rsidRDefault="00A90041">
      <w:pPr>
        <w:pStyle w:val="a5"/>
        <w:spacing w:line="240" w:lineRule="atLeast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211" w:rsidRDefault="00A90041">
      <w:pPr>
        <w:pStyle w:val="a5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28.12.2024 года (далее - Тарифное соглашение), следующие изменения:</w:t>
      </w:r>
    </w:p>
    <w:p w:rsidR="00BC7211" w:rsidRDefault="00BC7211">
      <w:pPr>
        <w:pStyle w:val="a5"/>
        <w:ind w:right="142" w:firstLine="708"/>
        <w:jc w:val="both"/>
        <w:rPr>
          <w:sz w:val="28"/>
          <w:szCs w:val="28"/>
        </w:rPr>
      </w:pPr>
    </w:p>
    <w:p w:rsidR="00BC7211" w:rsidRDefault="00A90041">
      <w:pPr>
        <w:pStyle w:val="a5"/>
        <w:numPr>
          <w:ilvl w:val="0"/>
          <w:numId w:val="1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Абзац 10 Пункта 2 Главы 1 Раздела 2 Тарифного соглашения изложить в новой редакции:</w:t>
      </w:r>
    </w:p>
    <w:p w:rsidR="00BC7211" w:rsidRDefault="00A90041">
      <w:pPr>
        <w:pStyle w:val="a5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медицинской помощи при ее оказании пациентам с хроническими неинфекционными заболеваниями, в том числе с сахарным диабетом, в части ведения школ, в том числе сахарного диабета;»</w:t>
      </w:r>
    </w:p>
    <w:p w:rsidR="00A90041" w:rsidRDefault="00A90041">
      <w:pPr>
        <w:pStyle w:val="a5"/>
        <w:ind w:right="142"/>
        <w:jc w:val="both"/>
        <w:rPr>
          <w:sz w:val="28"/>
          <w:szCs w:val="28"/>
        </w:rPr>
      </w:pPr>
    </w:p>
    <w:p w:rsidR="00BC7211" w:rsidRDefault="00A90041" w:rsidP="00A9004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 2 Главы 2 Раздела 2 Тарифного соглашения изложить в следующей редакции:</w:t>
      </w:r>
    </w:p>
    <w:p w:rsidR="00BC7211" w:rsidRDefault="00A90041" w:rsidP="00A90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</w:t>
      </w:r>
      <w:r>
        <w:rPr>
          <w:rFonts w:ascii="Times New Roman" w:hAnsi="Times New Roman" w:cs="Times New Roman"/>
          <w:sz w:val="28"/>
          <w:szCs w:val="28"/>
        </w:rPr>
        <w:lastRenderedPageBreak/>
        <w:t>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7 к Программе, в том числе в сочетании с оплатой за услугу диализа.»</w:t>
      </w:r>
    </w:p>
    <w:p w:rsidR="00A90041" w:rsidRDefault="00A90041" w:rsidP="00A90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 w:rsidP="00A9004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8 Главы 2 Раздела 2 Тарифного соглашения изложить в следующей редакции:</w:t>
      </w:r>
    </w:p>
    <w:p w:rsidR="00BC7211" w:rsidRDefault="00A90041" w:rsidP="00A9004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 случаев лечения по профилю "Медицинская реабилитация" для КСГ № st37.001 - st37.013, st37.021 - st37.031 - в стационарных условиях критерием для определения индивидуальной маршрутизации пациента служит оценка состояния по шкале реабилитационной маршрутизации (ШРМ). При оценке 2 балла по ШРМ пациент получает медицинскую реабилитацию в условиях дневного стационара.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маршрутизацией, установленной в субъекте Российской Федерации. При оценке 4 - 5 - 6 баллов по ШРМ пациенту оказывается медицинская реабилитация в стационарных условиях. Градации оценки и описание ШРМ приведены в Инструкции.»</w:t>
      </w:r>
    </w:p>
    <w:p w:rsidR="00A90041" w:rsidRDefault="00A90041" w:rsidP="00A9004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 w:rsidP="00A9004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 2 Главы 3 Раздела 2 Тарифного соглашения изложить в следующей редакции:</w:t>
      </w:r>
    </w:p>
    <w:p w:rsidR="00BC7211" w:rsidRDefault="00A90041" w:rsidP="00A9004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приложением № 7 к Программе, в том числе в сочетании с оплатой за услугу диализа (в том числе в сочетании с оплатой по КСГ, группе высокотехнологичной медицинской помощи).»</w:t>
      </w:r>
    </w:p>
    <w:p w:rsidR="00BC7211" w:rsidRDefault="00A90041" w:rsidP="00A9004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Пункта 8 Главы 3 Раздела 2 Тарифного соглашения изложить в следующей редакции: </w:t>
      </w:r>
    </w:p>
    <w:p w:rsidR="00BC7211" w:rsidRDefault="00A9004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 случаев лечения по профилю "Медицинская реабилитация" для КСГ № ds37.001 - ds37.008, ds37.015 - ds37.019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(ШРМ). При оценке 2 балла по ШРМ пациент получает медицинскую реабилитацию в условиях дневного стационара. При оценке 3 балла по ШРМ медицинская реабилитация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оказывается пациенту в условиях дневного стационара или в стационарных условиях в зависимости от состояния пациента и в соответствии с маршрутизацией, установленной в субъекте Российской Федерации. При оценке 4 - 5 - 6 баллов по ШРМ пациенту оказывается медицинская реабилитация в стационарных условиях. Градации оценки и описание ШРМ приведены в Инструкции.»</w:t>
      </w:r>
    </w:p>
    <w:p w:rsidR="00BC7211" w:rsidRDefault="00BC7211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 w:rsidP="00A90041">
      <w:pPr>
        <w:pStyle w:val="a5"/>
        <w:numPr>
          <w:ilvl w:val="0"/>
          <w:numId w:val="1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2 Главы 5 Раздела 2 Тарифного соглашения изложить в новой редакции:</w:t>
      </w:r>
    </w:p>
    <w:p w:rsidR="00BC7211" w:rsidRDefault="00A90041">
      <w:pPr>
        <w:pStyle w:val="a5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применяется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>
        <w:rPr>
          <w:sz w:val="28"/>
          <w:szCs w:val="28"/>
        </w:rPr>
        <w:t>биопсийного</w:t>
      </w:r>
      <w:proofErr w:type="spellEnd"/>
      <w:r>
        <w:rPr>
          <w:sz w:val="28"/>
          <w:szCs w:val="28"/>
        </w:rPr>
        <w:t xml:space="preserve"> (операционного) материала, ПЭТ/КТ и ОФЭКТ/ОФЭКТ-КТ), ведение школ для больных с хроническими неинфекционными заболеваниями, в том числе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пунктов.»</w:t>
      </w:r>
    </w:p>
    <w:p w:rsidR="00BC7211" w:rsidRDefault="00BC7211">
      <w:pPr>
        <w:pStyle w:val="a5"/>
        <w:ind w:right="142"/>
        <w:jc w:val="both"/>
        <w:rPr>
          <w:sz w:val="28"/>
          <w:szCs w:val="28"/>
        </w:rPr>
      </w:pPr>
    </w:p>
    <w:p w:rsidR="00BC7211" w:rsidRDefault="00A90041" w:rsidP="00A90041">
      <w:pPr>
        <w:pStyle w:val="a9"/>
        <w:numPr>
          <w:ilvl w:val="0"/>
          <w:numId w:val="1"/>
        </w:numPr>
        <w:ind w:left="709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Абзац 8 Подпункта 1.1. Пункта 1 Главы 1 Раздела 3 Тарифного соглашения             изложить в новой редакции:</w:t>
      </w:r>
    </w:p>
    <w:p w:rsidR="00BC7211" w:rsidRDefault="00A90041" w:rsidP="00A90041">
      <w:pPr>
        <w:pStyle w:val="ConsPlusNormal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- ПЭТ - КТ при онкологических заболеваниях – 38 413,57 рублей;»</w:t>
      </w:r>
    </w:p>
    <w:p w:rsidR="00BC7211" w:rsidRDefault="00BC7211" w:rsidP="00A90041">
      <w:pPr>
        <w:pStyle w:val="a5"/>
        <w:ind w:left="927" w:right="142"/>
        <w:jc w:val="both"/>
        <w:rPr>
          <w:sz w:val="28"/>
          <w:szCs w:val="28"/>
        </w:rPr>
      </w:pPr>
    </w:p>
    <w:p w:rsidR="00BC7211" w:rsidRDefault="00A90041" w:rsidP="00A90041">
      <w:pPr>
        <w:pStyle w:val="a5"/>
        <w:numPr>
          <w:ilvl w:val="0"/>
          <w:numId w:val="1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Пункт 2 Главы 1 Раздела 3 Тарифного соглашения изложить в новой редакции: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2. Значение базового (среднего) подушевого норматива финансирования на прикрепившихся лиц составляет 248,32 рублей на 1 застрахованное лицо в месяц.»</w:t>
      </w:r>
    </w:p>
    <w:p w:rsidR="00BC7211" w:rsidRDefault="00A90041">
      <w:pPr>
        <w:pStyle w:val="ConsPlusNormal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7211" w:rsidRDefault="00A90041" w:rsidP="00A9004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2 Главы 2 Раздела 3 Тарифного соглашения изложить в новой редакции:</w:t>
      </w:r>
    </w:p>
    <w:p w:rsidR="00BC7211" w:rsidRDefault="00A90041">
      <w:pPr>
        <w:pStyle w:val="ConsPlusNormal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Норматив финансовых затрат на единицу объема медицинской помощи, оказываемой в стационарных условиях, установленный территориальной программой государственных гарантий бесплатного оказания гражданам медицинской помощи в Иркутской области, без учета коэффициента дифференциации и за исключением медицинской реабилитации составляет      51 453,12 рубля, в том числе за счет средств субвенции из бюджета Федерального фонда обязательного медицинского страхования составляет 51 440,40 рублей.</w:t>
      </w:r>
    </w:p>
    <w:p w:rsidR="00BC7211" w:rsidRDefault="00A9004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9 Пункта 10 Главы 2 Раздела 3 Тарифного соглашения изложить в новой редакции:   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случаи медицинской реабилитации по КСГ st37.002, st37.003, st37.006, st37.007, st37.024, st37.025, st37.026, st37.027, st37.028, st37.029, st37.030, st37.031 с длительностью лечения менее количества дней, определенных Программой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являющимся приложением к Методическим рекомендациям.»</w:t>
      </w:r>
    </w:p>
    <w:p w:rsidR="00BC7211" w:rsidRDefault="00BC721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Пункт 10 Главы 2 Раздела 3 Тарифного соглашения «Тарифы на оплату законченных случаев оказания высокотехнологичной медицинской помощи, установленные с учетом применения коэффициента дифференциации (по территориям оказания медицинской помощи) к доле заработной платы в составе норматива финансовых затрат на единицу объема медицинской помощи, установлены в Приложении № 15 к Тарифному соглашению.» считать Пунктом 11 Главы 2 Раздела 3 Тарифного соглашения.</w:t>
      </w:r>
    </w:p>
    <w:p w:rsidR="00BC7211" w:rsidRDefault="00BC721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11 Главы 2 Раздела 3 Тарифного соглашения считать Пунктом 12 Главы 2 Раздела 3 Тарифного соглашения.</w:t>
      </w:r>
    </w:p>
    <w:p w:rsidR="00BC7211" w:rsidRDefault="00BC721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1 Подпункта 9 Пункта 10 Главы 3 Раздела 3 Тарифного соглашения изложить в новой редакции:   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случаи лечения хронического вирусного гепатита B и C по КСГ ds12.020 - ds12.027 с длительностью лечения менее количества дней, определенных Программой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являющимся приложением к Методическим рекомендациям.»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14. После Абзаца 1 Подпункта 9 Пункта 10 Главы 3 Раздела 3 Тарифного соглашения дополнить Подпунктом 10 следующего содержания: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10</w:t>
      </w:r>
      <w:proofErr w:type="gramEnd"/>
      <w:r>
        <w:rPr>
          <w:rFonts w:ascii="Times New Roman" w:hAnsi="Times New Roman" w:cs="Times New Roman"/>
          <w:sz w:val="28"/>
          <w:szCs w:val="28"/>
        </w:rPr>
        <w:t>) случаи медицинской реабилитации по КСГ ds37.017, ds37.018,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ds37.019 с длительностью лечения менее количества дней, определенных Программой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являющимся приложением к Методическим рекомендациям.»</w:t>
      </w:r>
    </w:p>
    <w:p w:rsidR="00BC7211" w:rsidRDefault="00BC721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Пункт 1 Главы 5 Раздела 3 Тарифного соглашения изложить в новой редакции: 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1201,01 рубль на 1 застрахованное лицо в месяц.»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16. Пункт 8 Главы 6 Раздела 3 Тарифного соглашения изложить в следующей редакции:</w:t>
      </w: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8. Расходы на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рублей, допускаются  при отсутствии:</w:t>
      </w:r>
    </w:p>
    <w:p w:rsidR="00BC7211" w:rsidRDefault="00A90041">
      <w:pPr>
        <w:pStyle w:val="ConsPlusNormal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медицинской организации, не погашенной в течение 3 месяцев кредиторской задолженности за счет средств обязательного медицинского страхования;</w:t>
      </w:r>
    </w:p>
    <w:p w:rsidR="00BC7211" w:rsidRDefault="00A90041">
      <w:pPr>
        <w:pStyle w:val="ConsPlusNormal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неисполненных требований о возврате нецелевого использования средств ОМС по результатам проверок, проводимых ТФОМС Иркутской области.</w:t>
      </w:r>
    </w:p>
    <w:p w:rsidR="00BC7211" w:rsidRDefault="00A90041">
      <w:pPr>
        <w:pStyle w:val="ConsPlusNormal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приобретении основных средств (оборудования, производственного и хозяйственного инвентаря) необходимо руководствоваться ОК 013-2014.»</w:t>
      </w:r>
    </w:p>
    <w:p w:rsidR="00BC7211" w:rsidRDefault="00BC721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BC7211" w:rsidRDefault="00BC7211">
      <w:pPr>
        <w:pStyle w:val="ConsPlusNormal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  Приложение </w:t>
      </w:r>
      <w:hyperlink w:anchor="P7313">
        <w:r>
          <w:rPr>
            <w:rFonts w:ascii="Times New Roman" w:hAnsi="Times New Roman" w:cs="Times New Roman"/>
            <w:sz w:val="28"/>
            <w:szCs w:val="28"/>
          </w:rPr>
          <w:t>№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«Тарифы на услуги диализа» к Тарифному соглашению изложить в новой редакции (приложение № 2 к настоящему Дополнительному соглашению). </w:t>
      </w:r>
    </w:p>
    <w:p w:rsidR="00BC7211" w:rsidRDefault="00BC721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7211" w:rsidRDefault="00A90041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 Приложение № 10 «Тарифы на оплату медицинской помощи в рамках мероприятий по диспансеризации определенных групп взрослого населения» к Тарифному соглашению изложить в новой редакции (приложение № 3 к настоящему Дополнительному соглашению).</w:t>
      </w:r>
    </w:p>
    <w:p w:rsidR="00BC7211" w:rsidRDefault="00BC7211">
      <w:pPr>
        <w:widowControl w:val="0"/>
        <w:autoSpaceDE w:val="0"/>
        <w:autoSpaceDN w:val="0"/>
        <w:ind w:right="142" w:firstLine="709"/>
        <w:jc w:val="both"/>
        <w:rPr>
          <w:sz w:val="28"/>
          <w:szCs w:val="28"/>
        </w:rPr>
      </w:pP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20. Приложение № 13 «Дифференцированные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медицинской помощи в амбулаторных условиях» к   Тарифному соглашению изложить в новой редакции (приложение № 4 к настоящему Дополнительному соглашению).</w:t>
      </w:r>
    </w:p>
    <w:p w:rsidR="00BC7211" w:rsidRDefault="00BC7211">
      <w:pPr>
        <w:ind w:right="142" w:firstLine="709"/>
        <w:jc w:val="both"/>
        <w:rPr>
          <w:sz w:val="28"/>
          <w:szCs w:val="28"/>
        </w:rPr>
      </w:pP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21.  </w:t>
      </w:r>
      <w:hyperlink w:anchor="P9715">
        <w:r>
          <w:rPr>
            <w:sz w:val="28"/>
            <w:szCs w:val="28"/>
          </w:rPr>
          <w:t>Приложение № 18</w:t>
        </w:r>
      </w:hyperlink>
      <w:r>
        <w:rPr>
          <w:sz w:val="28"/>
          <w:szCs w:val="28"/>
        </w:rPr>
        <w:t xml:space="preserve"> «Перечень клинико-статистических групп заболеваний (КСГ), коэффициенты относительной затратоемкости КСГ, поправочные коэффициенты (для медицинской помощи, оказанной в стационарных условиях)» к Тарифному соглашению изложить в новой редакции (приложение № 5 к настоящему Дополнительному соглашению).</w:t>
      </w:r>
    </w:p>
    <w:p w:rsidR="00BC7211" w:rsidRDefault="00BC7211">
      <w:pPr>
        <w:ind w:right="142" w:firstLine="709"/>
        <w:jc w:val="both"/>
        <w:rPr>
          <w:sz w:val="28"/>
          <w:szCs w:val="28"/>
        </w:rPr>
      </w:pP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 Приложение № 20 «Перечень случаев, для которых установлен коэффициент сложности лечения пациента» к Тарифному соглашению изложить в новой редакции (приложение № 6 к настоящему Дополнительному соглашению).</w:t>
      </w:r>
    </w:p>
    <w:p w:rsidR="00BC7211" w:rsidRDefault="00BC7211">
      <w:pPr>
        <w:ind w:right="142" w:firstLine="709"/>
        <w:jc w:val="both"/>
        <w:rPr>
          <w:sz w:val="28"/>
          <w:szCs w:val="28"/>
        </w:rPr>
      </w:pP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23.  Приложение № 21 «Перечень клинико-статистических групп заболеваний (КСГ), коэффициенты относительной затратоемкости КСГ, поправочные коэффициенты (для медицинской помощи, оказанной в условиях дневного стационара)» к Тарифному соглашению изложить в новой редакции (приложение № 7 к настоящему Дополнительному соглашению).</w:t>
      </w: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24.  Приложение № 25 «Тарифы на оплату медицинской помощи, оказываемой в амбулаторных условиях, за единицу объема медицинской помощи - за посещение, за обращение по заболеванию» к Тарифному соглашению изложить в новой редакции (приложение № 8 к настоящему Дополнительному соглашению).</w:t>
      </w:r>
    </w:p>
    <w:p w:rsidR="00BC7211" w:rsidRDefault="00BC7211">
      <w:pPr>
        <w:ind w:right="142" w:firstLine="709"/>
        <w:jc w:val="both"/>
        <w:rPr>
          <w:sz w:val="28"/>
          <w:szCs w:val="28"/>
        </w:rPr>
      </w:pP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25. Приложение № 28 «Перечень фельдшерских здравпунктов, фельдшерско-акушерских пунктов» к Тарифному соглашению изложить в новой редакции (приложение № 9 к настоящему Дополнительному соглашению).</w:t>
      </w: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C7211" w:rsidRDefault="00A90041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26. Приложение № 29 «Перечень медицинских организаций, оказывающих медицинскую помощь в амбулаторных, стационарных условиях,  в  условиях дневного стационара, имеющих прикрепившихся лиц, оплата медицинской </w:t>
      </w:r>
      <w:r>
        <w:rPr>
          <w:sz w:val="28"/>
          <w:szCs w:val="28"/>
        </w:rPr>
        <w:lastRenderedPageBreak/>
        <w:t>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10 к настоящему Дополнительному соглашению).</w:t>
      </w:r>
    </w:p>
    <w:p w:rsidR="00BC7211" w:rsidRDefault="00BC7211">
      <w:pPr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27. Приложение № 31 «Дифференцированные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11 к настоящему Дополнительному соглашению).</w:t>
      </w:r>
    </w:p>
    <w:p w:rsidR="00BC7211" w:rsidRDefault="00BC721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28. Приложение № 32 «Половозрастные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12 к настоящему Дополнительному соглашению).</w:t>
      </w:r>
    </w:p>
    <w:p w:rsidR="00BC7211" w:rsidRDefault="00BC721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29.  Приложение № 33 «Доля заработной платы и прочих расходов в структуре стоимости КСГ круглосуточного стационара» к Тарифному соглашению изложить в новой редакции (приложение № 13 к настоящему Дополнительному соглашению).</w:t>
      </w:r>
    </w:p>
    <w:p w:rsidR="00BC7211" w:rsidRDefault="00BC721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30. Приложение № 34 «Доля заработной платы и прочих расходов в структуре стоимости КСГ дневного стационара» к Тарифному соглашению изложить в новой редакции (приложение № 14 к настоящему Дополнительному соглашению).</w:t>
      </w:r>
    </w:p>
    <w:p w:rsidR="00BC7211" w:rsidRDefault="00BC721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31. Приложение № 35 «Перечень КСГ, которые предполагают хирургическое вмешательство или </w:t>
      </w:r>
      <w:proofErr w:type="spellStart"/>
      <w:r>
        <w:rPr>
          <w:sz w:val="28"/>
          <w:szCs w:val="28"/>
        </w:rPr>
        <w:t>тромболитическую</w:t>
      </w:r>
      <w:proofErr w:type="spellEnd"/>
      <w:r>
        <w:rPr>
          <w:sz w:val="28"/>
          <w:szCs w:val="28"/>
        </w:rPr>
        <w:t xml:space="preserve"> терапию в условиях круглосуточного стационара» к Тарифному соглашению изложить в новой редакции (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15 к настоящему Дополнительному соглашению).</w:t>
      </w:r>
    </w:p>
    <w:p w:rsidR="00BC7211" w:rsidRDefault="00BC721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32. Приложение № 36 «Перечень КСГ, которые предполагают хирургическое вмешательство или </w:t>
      </w:r>
      <w:proofErr w:type="spellStart"/>
      <w:r>
        <w:rPr>
          <w:sz w:val="28"/>
          <w:szCs w:val="28"/>
        </w:rPr>
        <w:t>тромболитическую</w:t>
      </w:r>
      <w:proofErr w:type="spellEnd"/>
      <w:r>
        <w:rPr>
          <w:sz w:val="28"/>
          <w:szCs w:val="28"/>
        </w:rPr>
        <w:t xml:space="preserve"> терапию в условиях дневного стационара» к Тарифному соглашению изложить в новой редакции (приложение № 16 к настоящему Дополнительному соглашению).</w:t>
      </w:r>
    </w:p>
    <w:p w:rsidR="00BC7211" w:rsidRDefault="00BC721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33. Приложение № 38 «Перечень расходов на оказание медицинской помощи, оказываемой в амбулаторных условиях, финансовое обеспечение которых осуществляется по подушевому нормативу финансирования, в том числе в разрезе врачей-специалистов» (приложение № 17 к настоящему Дополнительному соглашению).</w:t>
      </w:r>
    </w:p>
    <w:p w:rsidR="00A9004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34.  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января 2025 года.</w:t>
      </w:r>
    </w:p>
    <w:p w:rsidR="00BC7211" w:rsidRDefault="00BC7211">
      <w:pPr>
        <w:tabs>
          <w:tab w:val="left" w:pos="709"/>
        </w:tabs>
        <w:ind w:right="142"/>
        <w:jc w:val="both"/>
        <w:rPr>
          <w:sz w:val="28"/>
          <w:szCs w:val="28"/>
        </w:rPr>
      </w:pPr>
    </w:p>
    <w:p w:rsidR="00A90041" w:rsidRDefault="00A90041">
      <w:pPr>
        <w:tabs>
          <w:tab w:val="left" w:pos="709"/>
          <w:tab w:val="left" w:pos="9781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35.   Настоящее   Дополнительное    соглашение     составлено    в      пяти </w:t>
      </w:r>
    </w:p>
    <w:p w:rsidR="00A90041" w:rsidRDefault="00A90041">
      <w:pPr>
        <w:tabs>
          <w:tab w:val="left" w:pos="709"/>
          <w:tab w:val="left" w:pos="9781"/>
          <w:tab w:val="left" w:pos="9923"/>
        </w:tabs>
        <w:ind w:right="142"/>
        <w:jc w:val="both"/>
        <w:rPr>
          <w:sz w:val="28"/>
          <w:szCs w:val="28"/>
        </w:rPr>
      </w:pPr>
    </w:p>
    <w:p w:rsidR="00A90041" w:rsidRDefault="00A90041">
      <w:pPr>
        <w:tabs>
          <w:tab w:val="left" w:pos="709"/>
          <w:tab w:val="left" w:pos="9781"/>
          <w:tab w:val="left" w:pos="9923"/>
        </w:tabs>
        <w:ind w:right="142"/>
        <w:jc w:val="both"/>
        <w:rPr>
          <w:sz w:val="28"/>
          <w:szCs w:val="28"/>
        </w:rPr>
      </w:pPr>
    </w:p>
    <w:p w:rsidR="00BC7211" w:rsidRDefault="00A90041">
      <w:pPr>
        <w:tabs>
          <w:tab w:val="left" w:pos="709"/>
          <w:tab w:val="left" w:pos="9781"/>
          <w:tab w:val="left" w:pos="9923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:rsidR="00BC7211" w:rsidRDefault="00BC7211">
      <w:pPr>
        <w:ind w:right="142"/>
        <w:jc w:val="center"/>
        <w:rPr>
          <w:sz w:val="28"/>
          <w:szCs w:val="28"/>
        </w:rPr>
      </w:pPr>
    </w:p>
    <w:p w:rsidR="00BC7211" w:rsidRDefault="00A90041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:rsidR="00BC7211" w:rsidRDefault="00BC7211">
      <w:pPr>
        <w:widowControl w:val="0"/>
        <w:ind w:left="426" w:right="142" w:firstLine="141"/>
        <w:rPr>
          <w:sz w:val="28"/>
          <w:szCs w:val="28"/>
        </w:rPr>
      </w:pPr>
    </w:p>
    <w:p w:rsidR="00BC7211" w:rsidRDefault="00BC7211">
      <w:pPr>
        <w:widowControl w:val="0"/>
        <w:ind w:left="426" w:right="142" w:firstLine="141"/>
        <w:rPr>
          <w:sz w:val="28"/>
          <w:szCs w:val="28"/>
        </w:rPr>
      </w:pPr>
    </w:p>
    <w:p w:rsidR="00BC7211" w:rsidRDefault="00A90041">
      <w:pPr>
        <w:widowControl w:val="0"/>
        <w:ind w:left="426" w:right="142" w:firstLine="141"/>
        <w:rPr>
          <w:sz w:val="28"/>
          <w:szCs w:val="28"/>
        </w:rPr>
      </w:pPr>
      <w:r>
        <w:rPr>
          <w:sz w:val="28"/>
          <w:szCs w:val="28"/>
        </w:rPr>
        <w:t xml:space="preserve">____________А.А. Модестов                      __________Е.В. </w:t>
      </w:r>
      <w:proofErr w:type="spellStart"/>
      <w:r>
        <w:rPr>
          <w:sz w:val="28"/>
          <w:szCs w:val="28"/>
        </w:rPr>
        <w:t>Градобоев</w:t>
      </w:r>
      <w:proofErr w:type="spellEnd"/>
    </w:p>
    <w:p w:rsidR="00BC7211" w:rsidRDefault="00A90041">
      <w:pPr>
        <w:widowControl w:val="0"/>
        <w:ind w:left="567" w:righ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211" w:rsidRDefault="00A90041">
      <w:pPr>
        <w:widowControl w:val="0"/>
        <w:ind w:left="567" w:right="142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        __________С.В. Никифорова</w:t>
      </w:r>
    </w:p>
    <w:p w:rsidR="00BC7211" w:rsidRDefault="00BC7211">
      <w:pPr>
        <w:widowControl w:val="0"/>
        <w:ind w:left="567" w:right="142"/>
        <w:rPr>
          <w:sz w:val="28"/>
          <w:szCs w:val="28"/>
        </w:rPr>
      </w:pPr>
    </w:p>
    <w:p w:rsidR="00BC7211" w:rsidRDefault="00A90041">
      <w:pPr>
        <w:widowControl w:val="0"/>
        <w:ind w:left="567" w:right="142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</w:p>
    <w:p w:rsidR="00BC7211" w:rsidRDefault="00BC7211">
      <w:pPr>
        <w:widowControl w:val="0"/>
        <w:ind w:right="142"/>
        <w:rPr>
          <w:sz w:val="28"/>
          <w:szCs w:val="28"/>
        </w:rPr>
      </w:pPr>
    </w:p>
    <w:p w:rsidR="00BC7211" w:rsidRDefault="00BC7211">
      <w:pPr>
        <w:widowControl w:val="0"/>
        <w:ind w:right="142"/>
        <w:rPr>
          <w:sz w:val="28"/>
          <w:szCs w:val="28"/>
        </w:rPr>
      </w:pPr>
    </w:p>
    <w:p w:rsidR="00BC7211" w:rsidRDefault="00BC7211">
      <w:pPr>
        <w:widowControl w:val="0"/>
        <w:ind w:right="142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  <w:bookmarkStart w:id="0" w:name="_GoBack"/>
      <w:bookmarkEnd w:id="0"/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C16A9E" w:rsidRDefault="00C16A9E">
      <w:pPr>
        <w:widowControl w:val="0"/>
        <w:rPr>
          <w:sz w:val="28"/>
          <w:szCs w:val="28"/>
        </w:rPr>
      </w:pPr>
    </w:p>
    <w:p w:rsidR="00BC7211" w:rsidRDefault="00BC7211">
      <w:pPr>
        <w:widowControl w:val="0"/>
        <w:rPr>
          <w:sz w:val="28"/>
          <w:szCs w:val="28"/>
        </w:rPr>
      </w:pPr>
    </w:p>
    <w:p w:rsidR="00BC7211" w:rsidRDefault="00A90041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BC7211" w:rsidSect="00A90041">
      <w:pgSz w:w="11905" w:h="16838" w:code="9"/>
      <w:pgMar w:top="426" w:right="706" w:bottom="28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32402"/>
    <w:multiLevelType w:val="hybridMultilevel"/>
    <w:tmpl w:val="112E9160"/>
    <w:lvl w:ilvl="0" w:tplc="CBD65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322C0"/>
    <w:multiLevelType w:val="hybridMultilevel"/>
    <w:tmpl w:val="B9A0CD70"/>
    <w:lvl w:ilvl="0" w:tplc="64EAC450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28354C7"/>
    <w:multiLevelType w:val="hybridMultilevel"/>
    <w:tmpl w:val="8B220140"/>
    <w:lvl w:ilvl="0" w:tplc="66F439CA">
      <w:start w:val="5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11"/>
    <w:rsid w:val="003A4541"/>
    <w:rsid w:val="00A90041"/>
    <w:rsid w:val="00BC7211"/>
    <w:rsid w:val="00C1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3814-0299-428F-AAEE-AAE551E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98DC-2FC6-4B7C-91DF-3C1A5832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2025-01-28T00:29:00Z</cp:lastPrinted>
  <dcterms:created xsi:type="dcterms:W3CDTF">2024-10-25T02:27:00Z</dcterms:created>
  <dcterms:modified xsi:type="dcterms:W3CDTF">2025-01-28T08:31:00Z</dcterms:modified>
</cp:coreProperties>
</file>