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CF9" w:rsidRDefault="007E7E15">
      <w:pPr>
        <w:rPr>
          <w:color w:val="000000" w:themeColor="text1"/>
          <w:sz w:val="28"/>
          <w:szCs w:val="28"/>
        </w:rPr>
      </w:pPr>
      <w:r>
        <w:rPr>
          <w:color w:val="000000" w:themeColor="text1"/>
          <w:sz w:val="28"/>
          <w:szCs w:val="28"/>
        </w:rPr>
        <w:t xml:space="preserve">                                    Дополнительное соглашение № 2</w:t>
      </w:r>
    </w:p>
    <w:p w:rsidR="00A63CF9" w:rsidRDefault="007E7E15">
      <w:pPr>
        <w:pStyle w:val="a5"/>
        <w:ind w:right="142" w:firstLine="708"/>
        <w:contextualSpacing/>
        <w:jc w:val="center"/>
        <w:rPr>
          <w:color w:val="000000" w:themeColor="text1"/>
          <w:sz w:val="28"/>
          <w:szCs w:val="28"/>
        </w:rPr>
      </w:pPr>
      <w:r>
        <w:rPr>
          <w:color w:val="000000" w:themeColor="text1"/>
          <w:sz w:val="28"/>
          <w:szCs w:val="28"/>
        </w:rPr>
        <w:t>к Тарифному соглашению на оплату медицинской помощи по обязательному медицинскому страхованию на территории Иркутской области от 28.12.2024г.</w:t>
      </w:r>
    </w:p>
    <w:p w:rsidR="00A63CF9" w:rsidRDefault="00A63CF9">
      <w:pPr>
        <w:pStyle w:val="a5"/>
        <w:ind w:right="142" w:firstLine="708"/>
        <w:contextualSpacing/>
        <w:jc w:val="center"/>
        <w:rPr>
          <w:color w:val="000000" w:themeColor="text1"/>
          <w:sz w:val="28"/>
          <w:szCs w:val="28"/>
        </w:rPr>
      </w:pPr>
    </w:p>
    <w:p w:rsidR="00A63CF9" w:rsidRDefault="007E7E15">
      <w:pPr>
        <w:pStyle w:val="a5"/>
        <w:ind w:left="142" w:right="142" w:firstLine="142"/>
        <w:rPr>
          <w:color w:val="000000" w:themeColor="text1"/>
          <w:sz w:val="28"/>
          <w:szCs w:val="28"/>
        </w:rPr>
      </w:pPr>
      <w:r>
        <w:rPr>
          <w:color w:val="000000" w:themeColor="text1"/>
          <w:sz w:val="28"/>
          <w:szCs w:val="28"/>
        </w:rPr>
        <w:t xml:space="preserve">г. Иркутск                                                                </w:t>
      </w:r>
      <w:proofErr w:type="gramStart"/>
      <w:r>
        <w:rPr>
          <w:color w:val="000000" w:themeColor="text1"/>
          <w:sz w:val="28"/>
          <w:szCs w:val="28"/>
        </w:rPr>
        <w:t xml:space="preserve">   «</w:t>
      </w:r>
      <w:proofErr w:type="gramEnd"/>
      <w:r w:rsidR="00CB79D5">
        <w:rPr>
          <w:color w:val="000000" w:themeColor="text1"/>
          <w:sz w:val="28"/>
          <w:szCs w:val="28"/>
        </w:rPr>
        <w:t>20</w:t>
      </w:r>
      <w:r>
        <w:rPr>
          <w:color w:val="000000" w:themeColor="text1"/>
          <w:sz w:val="28"/>
          <w:szCs w:val="28"/>
        </w:rPr>
        <w:t>» февраля 2025 г.</w:t>
      </w:r>
    </w:p>
    <w:p w:rsidR="00A63CF9" w:rsidRDefault="00A63CF9">
      <w:pPr>
        <w:pStyle w:val="a5"/>
        <w:ind w:right="142" w:firstLine="708"/>
        <w:contextualSpacing/>
        <w:jc w:val="both"/>
        <w:rPr>
          <w:color w:val="000000" w:themeColor="text1"/>
          <w:sz w:val="28"/>
          <w:szCs w:val="28"/>
        </w:rPr>
      </w:pPr>
    </w:p>
    <w:p w:rsidR="00A63CF9" w:rsidRDefault="007E7E15">
      <w:pPr>
        <w:pStyle w:val="a5"/>
        <w:spacing w:before="240" w:line="276" w:lineRule="auto"/>
        <w:ind w:right="142" w:firstLine="680"/>
        <w:contextualSpacing/>
        <w:jc w:val="both"/>
        <w:rPr>
          <w:color w:val="000000" w:themeColor="text1"/>
          <w:sz w:val="28"/>
          <w:szCs w:val="28"/>
        </w:rPr>
      </w:pPr>
      <w:r>
        <w:rPr>
          <w:color w:val="000000" w:themeColor="text1"/>
          <w:sz w:val="28"/>
          <w:szCs w:val="28"/>
        </w:rPr>
        <w:t xml:space="preserve"> Модестов Андрей Арсеньевич – министр здравоохранения Иркутской области;</w:t>
      </w:r>
    </w:p>
    <w:p w:rsidR="00A63CF9" w:rsidRDefault="007E7E15">
      <w:pPr>
        <w:pStyle w:val="a5"/>
        <w:spacing w:before="240" w:line="276" w:lineRule="auto"/>
        <w:ind w:right="142" w:firstLine="680"/>
        <w:contextualSpacing/>
        <w:jc w:val="both"/>
        <w:rPr>
          <w:color w:val="000000" w:themeColor="text1"/>
          <w:sz w:val="28"/>
          <w:szCs w:val="28"/>
        </w:rPr>
      </w:pPr>
      <w:r>
        <w:rPr>
          <w:color w:val="000000" w:themeColor="text1"/>
          <w:sz w:val="28"/>
          <w:szCs w:val="28"/>
        </w:rPr>
        <w:t xml:space="preserve"> Градобоев Евгений Валерьевич - директор Территориального фонда обязательного медицинского страхования Иркутской области;</w:t>
      </w:r>
    </w:p>
    <w:p w:rsidR="00A63CF9" w:rsidRDefault="007E7E15">
      <w:pPr>
        <w:pStyle w:val="a5"/>
        <w:spacing w:before="240" w:line="276" w:lineRule="auto"/>
        <w:ind w:right="142" w:firstLine="680"/>
        <w:contextualSpacing/>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Сосова</w:t>
      </w:r>
      <w:proofErr w:type="spellEnd"/>
      <w:r>
        <w:rPr>
          <w:color w:val="000000" w:themeColor="text1"/>
          <w:sz w:val="28"/>
          <w:szCs w:val="28"/>
        </w:rPr>
        <w:t xml:space="preserve"> Кристина </w:t>
      </w:r>
      <w:proofErr w:type="spellStart"/>
      <w:r>
        <w:rPr>
          <w:color w:val="000000" w:themeColor="text1"/>
          <w:sz w:val="28"/>
          <w:szCs w:val="28"/>
        </w:rPr>
        <w:t>Вилорьевна</w:t>
      </w:r>
      <w:proofErr w:type="spellEnd"/>
      <w:r>
        <w:rPr>
          <w:color w:val="000000" w:themeColor="text1"/>
          <w:sz w:val="28"/>
          <w:szCs w:val="28"/>
        </w:rPr>
        <w:t xml:space="preserve"> - полномочный представитель Всероссийского союза страховщиков по медицинскому страхованию в Иркутской области, директор Иркутского филиала АО «Страховая компания «СОГАЗ-Мед»; </w:t>
      </w:r>
    </w:p>
    <w:p w:rsidR="00A63CF9" w:rsidRDefault="007E7E15">
      <w:pPr>
        <w:pStyle w:val="a5"/>
        <w:spacing w:before="240" w:line="276" w:lineRule="auto"/>
        <w:ind w:right="142" w:firstLine="680"/>
        <w:contextualSpacing/>
        <w:jc w:val="both"/>
        <w:rPr>
          <w:color w:val="000000" w:themeColor="text1"/>
          <w:sz w:val="28"/>
          <w:szCs w:val="28"/>
        </w:rPr>
      </w:pPr>
      <w:r>
        <w:rPr>
          <w:color w:val="000000" w:themeColor="text1"/>
          <w:sz w:val="28"/>
          <w:szCs w:val="28"/>
        </w:rPr>
        <w:t xml:space="preserve">  Никифорова Светлана Владимировна - председатель Иркутской областной организации профсоюза работников здравоохранения Российской Федерации;</w:t>
      </w:r>
    </w:p>
    <w:p w:rsidR="00A63CF9" w:rsidRDefault="007E7E15">
      <w:pPr>
        <w:pStyle w:val="a5"/>
        <w:spacing w:before="240" w:line="276" w:lineRule="auto"/>
        <w:ind w:right="142" w:firstLine="680"/>
        <w:contextualSpacing/>
        <w:jc w:val="both"/>
        <w:rPr>
          <w:color w:val="000000" w:themeColor="text1"/>
          <w:sz w:val="28"/>
          <w:szCs w:val="28"/>
        </w:rPr>
      </w:pPr>
      <w:r>
        <w:rPr>
          <w:color w:val="000000" w:themeColor="text1"/>
          <w:sz w:val="28"/>
          <w:szCs w:val="28"/>
        </w:rPr>
        <w:t xml:space="preserve">  Гайдаров Гайдар </w:t>
      </w:r>
      <w:proofErr w:type="spellStart"/>
      <w:r>
        <w:rPr>
          <w:color w:val="000000" w:themeColor="text1"/>
          <w:sz w:val="28"/>
          <w:szCs w:val="28"/>
        </w:rPr>
        <w:t>Мамедович</w:t>
      </w:r>
      <w:proofErr w:type="spellEnd"/>
      <w:r>
        <w:rPr>
          <w:color w:val="000000" w:themeColor="text1"/>
          <w:sz w:val="28"/>
          <w:szCs w:val="28"/>
        </w:rPr>
        <w:t xml:space="preserve"> - Председатель Общественной организации «Ассоциация медицинских и фармацевтических работников Иркутской области»;</w:t>
      </w:r>
    </w:p>
    <w:p w:rsidR="00A63CF9" w:rsidRDefault="007E7E15">
      <w:pPr>
        <w:pStyle w:val="a5"/>
        <w:spacing w:line="240" w:lineRule="atLeast"/>
        <w:ind w:right="142" w:firstLine="708"/>
        <w:jc w:val="both"/>
        <w:rPr>
          <w:color w:val="000000" w:themeColor="text1"/>
          <w:sz w:val="28"/>
          <w:szCs w:val="28"/>
        </w:rPr>
      </w:pPr>
      <w:r>
        <w:rPr>
          <w:color w:val="000000" w:themeColor="text1"/>
          <w:sz w:val="28"/>
          <w:szCs w:val="28"/>
        </w:rPr>
        <w:t xml:space="preserve">  включенные в состав Комиссии по разработке территориальной программы обязательного медицинского страхования в Иркутской области (далее - Комиссия) и в дальнейшем именуемые «Стороны», на основании решения, принятого Комиссией,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28 декабря 2024 года (далее – Дополнительное соглашение) о нижеследующем: </w:t>
      </w:r>
    </w:p>
    <w:p w:rsidR="00A63CF9" w:rsidRDefault="007E7E15">
      <w:pPr>
        <w:pStyle w:val="a5"/>
        <w:spacing w:line="240" w:lineRule="atLeast"/>
        <w:ind w:right="142" w:firstLine="708"/>
        <w:jc w:val="both"/>
        <w:rPr>
          <w:color w:val="000000" w:themeColor="text1"/>
          <w:sz w:val="28"/>
          <w:szCs w:val="28"/>
        </w:rPr>
      </w:pPr>
      <w:r>
        <w:rPr>
          <w:color w:val="000000" w:themeColor="text1"/>
          <w:sz w:val="28"/>
          <w:szCs w:val="28"/>
        </w:rPr>
        <w:t xml:space="preserve"> Внести в Тарифное соглашение на оплату медицинской помощи по обязательному медицинскому страхованию на территории Иркутской области от 28.12.2024 года (далее - Тарифное соглашение) </w:t>
      </w:r>
      <w:r>
        <w:rPr>
          <w:color w:val="000000" w:themeColor="text1"/>
          <w:sz w:val="27"/>
          <w:szCs w:val="27"/>
        </w:rPr>
        <w:t>(в редакции Дополнительного соглашения № 1 от 24.01.2025г.)</w:t>
      </w:r>
      <w:r>
        <w:rPr>
          <w:color w:val="000000" w:themeColor="text1"/>
          <w:sz w:val="28"/>
          <w:szCs w:val="28"/>
        </w:rPr>
        <w:t>, следующие изменения:</w:t>
      </w:r>
    </w:p>
    <w:p w:rsidR="00A63CF9" w:rsidRDefault="007E7E15">
      <w:pPr>
        <w:pStyle w:val="a9"/>
        <w:numPr>
          <w:ilvl w:val="0"/>
          <w:numId w:val="5"/>
        </w:numPr>
        <w:spacing w:before="220" w:after="200" w:line="276" w:lineRule="auto"/>
        <w:ind w:left="0" w:right="64" w:firstLine="708"/>
        <w:jc w:val="both"/>
        <w:rPr>
          <w:color w:val="000000" w:themeColor="text1"/>
          <w:sz w:val="28"/>
          <w:szCs w:val="28"/>
        </w:rPr>
      </w:pPr>
      <w:r>
        <w:rPr>
          <w:rFonts w:eastAsiaTheme="minorEastAsia"/>
          <w:color w:val="000000" w:themeColor="text1"/>
          <w:sz w:val="28"/>
          <w:szCs w:val="28"/>
        </w:rPr>
        <w:t>Пункт 2 Главы 1 Раздела 2 Тарифного соглашения изложить в новой редакции:</w:t>
      </w:r>
    </w:p>
    <w:p w:rsidR="00A63CF9" w:rsidRDefault="007E7E15">
      <w:pPr>
        <w:spacing w:before="220" w:after="200" w:line="276" w:lineRule="auto"/>
        <w:ind w:left="708" w:right="64"/>
        <w:jc w:val="both"/>
        <w:rPr>
          <w:color w:val="000000" w:themeColor="text1"/>
          <w:sz w:val="28"/>
          <w:szCs w:val="28"/>
        </w:rPr>
      </w:pPr>
      <w:r>
        <w:rPr>
          <w:color w:val="000000" w:themeColor="text1"/>
          <w:sz w:val="28"/>
          <w:szCs w:val="28"/>
        </w:rPr>
        <w:t>«</w:t>
      </w:r>
      <w:r>
        <w:rPr>
          <w:color w:val="000000" w:themeColor="text1"/>
          <w:sz w:val="28"/>
          <w:szCs w:val="28"/>
        </w:rPr>
        <w:tab/>
        <w:t>2. Оплата медицинской помощи, оказываемой в амбулаторных условиях, осуществляется:</w:t>
      </w:r>
    </w:p>
    <w:p w:rsidR="00A63CF9" w:rsidRDefault="007E7E1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 подушевому нормативу финансирования на прикрепившихся лиц </w:t>
      </w:r>
      <w:r>
        <w:rPr>
          <w:rFonts w:ascii="Times New Roman" w:hAnsi="Times New Roman" w:cs="Times New Roman"/>
          <w:color w:val="000000" w:themeColor="text1"/>
          <w:sz w:val="28"/>
          <w:szCs w:val="28"/>
        </w:rPr>
        <w:br/>
        <w:t xml:space="preserve">(за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w:t>
      </w:r>
      <w:r>
        <w:rPr>
          <w:rFonts w:ascii="Times New Roman" w:hAnsi="Times New Roman" w:cs="Times New Roman"/>
          <w:color w:val="000000" w:themeColor="text1"/>
          <w:sz w:val="28"/>
          <w:szCs w:val="28"/>
        </w:rPr>
        <w:lastRenderedPageBreak/>
        <w:t>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A63CF9" w:rsidRDefault="007E7E15">
      <w:pPr>
        <w:widowControl w:val="0"/>
        <w:ind w:firstLine="709"/>
        <w:jc w:val="both"/>
        <w:rPr>
          <w:rFonts w:eastAsiaTheme="minorEastAsia"/>
          <w:color w:val="000000" w:themeColor="text1"/>
          <w:sz w:val="28"/>
          <w:szCs w:val="28"/>
        </w:rPr>
      </w:pPr>
      <w:r>
        <w:rPr>
          <w:rFonts w:eastAsiaTheme="minorEastAsia"/>
          <w:color w:val="000000" w:themeColor="text1"/>
          <w:sz w:val="28"/>
          <w:szCs w:val="28"/>
        </w:rPr>
        <w:t>за единицу объема медицинской помощи - за медицинскую услугу, посещение, обращение (законченный случай) при оплате:</w:t>
      </w:r>
    </w:p>
    <w:p w:rsidR="00A63CF9" w:rsidRDefault="007E7E15">
      <w:pPr>
        <w:widowControl w:val="0"/>
        <w:ind w:firstLine="708"/>
        <w:jc w:val="both"/>
        <w:rPr>
          <w:rFonts w:eastAsiaTheme="minorEastAsia"/>
          <w:color w:val="000000" w:themeColor="text1"/>
          <w:sz w:val="28"/>
          <w:szCs w:val="28"/>
        </w:rPr>
      </w:pPr>
      <w:r>
        <w:rPr>
          <w:rFonts w:eastAsiaTheme="minorEastAsia"/>
          <w:color w:val="000000" w:themeColor="text1"/>
          <w:sz w:val="28"/>
          <w:szCs w:val="28"/>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A63CF9" w:rsidRDefault="007E7E15">
      <w:pPr>
        <w:widowControl w:val="0"/>
        <w:ind w:firstLine="708"/>
        <w:jc w:val="both"/>
        <w:rPr>
          <w:rFonts w:eastAsiaTheme="minorEastAsia"/>
          <w:color w:val="000000" w:themeColor="text1"/>
          <w:sz w:val="28"/>
          <w:szCs w:val="28"/>
        </w:rPr>
      </w:pPr>
      <w:r>
        <w:rPr>
          <w:rFonts w:eastAsiaTheme="minorEastAsia"/>
          <w:color w:val="000000" w:themeColor="text1"/>
          <w:sz w:val="28"/>
          <w:szCs w:val="28"/>
        </w:rPr>
        <w:t>медицинской помощи, оказанной в медицинских организациях, не имеющих прикрепившихся лиц;</w:t>
      </w:r>
    </w:p>
    <w:p w:rsidR="00A63CF9" w:rsidRDefault="007E7E15">
      <w:pPr>
        <w:widowControl w:val="0"/>
        <w:ind w:firstLine="708"/>
        <w:jc w:val="both"/>
        <w:rPr>
          <w:rFonts w:eastAsiaTheme="minorEastAsia"/>
          <w:color w:val="000000" w:themeColor="text1"/>
          <w:sz w:val="28"/>
          <w:szCs w:val="28"/>
        </w:rPr>
      </w:pPr>
      <w:r>
        <w:rPr>
          <w:rFonts w:eastAsiaTheme="minorEastAsia"/>
          <w:color w:val="000000" w:themeColor="text1"/>
          <w:sz w:val="28"/>
          <w:szCs w:val="28"/>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A63CF9" w:rsidRDefault="007E7E1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proofErr w:type="gramStart"/>
      <w:r>
        <w:rPr>
          <w:rFonts w:ascii="Times New Roman" w:hAnsi="Times New Roman" w:cs="Times New Roman"/>
          <w:color w:val="000000" w:themeColor="text1"/>
          <w:sz w:val="28"/>
          <w:szCs w:val="28"/>
        </w:rPr>
        <w:t>патолого-анатомических</w:t>
      </w:r>
      <w:proofErr w:type="gramEnd"/>
      <w:r>
        <w:rPr>
          <w:rFonts w:ascii="Times New Roman" w:hAnsi="Times New Roman" w:cs="Times New Roman"/>
          <w:color w:val="000000" w:themeColor="text1"/>
          <w:sz w:val="28"/>
          <w:szCs w:val="28"/>
        </w:rPr>
        <w:t xml:space="preserve"> исследований биопсийного (операционного) материала, ПЭТ/КТ и ОФЭКТ/ОФЭКТ-КТ;</w:t>
      </w:r>
    </w:p>
    <w:p w:rsidR="00A63CF9" w:rsidRDefault="007E7E15">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A63CF9" w:rsidRDefault="007E7E1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w:t>
      </w:r>
      <w:r>
        <w:rPr>
          <w:rFonts w:ascii="Times New Roman" w:hAnsi="Times New Roman" w:cs="Times New Roman"/>
          <w:color w:val="000000" w:themeColor="text1"/>
          <w:sz w:val="28"/>
          <w:szCs w:val="28"/>
        </w:rPr>
        <w:br/>
        <w:t xml:space="preserve">в образовательных организациях; </w:t>
      </w:r>
    </w:p>
    <w:p w:rsidR="00A63CF9" w:rsidRDefault="00A63CF9">
      <w:pPr>
        <w:pStyle w:val="ConsPlusNormal"/>
        <w:ind w:firstLine="540"/>
        <w:jc w:val="both"/>
        <w:rPr>
          <w:rFonts w:ascii="Times New Roman" w:hAnsi="Times New Roman" w:cs="Times New Roman"/>
          <w:color w:val="000000" w:themeColor="text1"/>
          <w:sz w:val="28"/>
          <w:szCs w:val="28"/>
        </w:rPr>
      </w:pPr>
    </w:p>
    <w:p w:rsidR="00A63CF9" w:rsidRDefault="007E7E1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медицинской помощи при ее оказании пациентам с хроническими</w:t>
      </w:r>
      <w:r>
        <w:rPr>
          <w:color w:val="000000" w:themeColor="text1"/>
          <w:sz w:val="28"/>
          <w:szCs w:val="28"/>
        </w:rPr>
        <w:t xml:space="preserve"> </w:t>
      </w:r>
      <w:r>
        <w:rPr>
          <w:rFonts w:ascii="Times New Roman" w:hAnsi="Times New Roman" w:cs="Times New Roman"/>
          <w:color w:val="000000" w:themeColor="text1"/>
          <w:sz w:val="28"/>
          <w:szCs w:val="28"/>
        </w:rPr>
        <w:t>неинфекционными заболеваниями, в том числе с сахарным диабетом, в части ведения школ, в том числе сахарного диабета;</w:t>
      </w:r>
    </w:p>
    <w:p w:rsidR="00A63CF9" w:rsidRDefault="007E7E1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медицинской помощи по медицинской реабилитации (комплексное посещение).</w:t>
      </w:r>
    </w:p>
    <w:p w:rsidR="00A63CF9" w:rsidRDefault="007E7E15">
      <w:pPr>
        <w:pStyle w:val="ConsPlusNormal"/>
        <w:spacing w:before="220"/>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Федеральным </w:t>
      </w:r>
      <w:hyperlink r:id="rId6">
        <w:r>
          <w:rPr>
            <w:rFonts w:ascii="Times New Roman" w:hAnsi="Times New Roman" w:cs="Times New Roman"/>
            <w:color w:val="000000" w:themeColor="text1"/>
            <w:sz w:val="28"/>
            <w:szCs w:val="28"/>
          </w:rPr>
          <w:t>законом</w:t>
        </w:r>
      </w:hyperlink>
      <w:r>
        <w:rPr>
          <w:rFonts w:ascii="Times New Roman" w:hAnsi="Times New Roman" w:cs="Times New Roman"/>
          <w:color w:val="000000" w:themeColor="text1"/>
          <w:sz w:val="28"/>
          <w:szCs w:val="28"/>
        </w:rPr>
        <w:t xml:space="preserve"> от 21.11.2011г. № 323-ФЗ "Об основах охраны здоровья граждан в Российской Федерации".</w:t>
      </w:r>
    </w:p>
    <w:p w:rsidR="00A63CF9" w:rsidRDefault="00A63CF9">
      <w:pPr>
        <w:pStyle w:val="ConsPlusNormal"/>
        <w:spacing w:before="220"/>
        <w:ind w:firstLine="540"/>
        <w:jc w:val="both"/>
        <w:rPr>
          <w:rFonts w:ascii="Times New Roman" w:hAnsi="Times New Roman" w:cs="Times New Roman"/>
          <w:color w:val="000000" w:themeColor="text1"/>
          <w:sz w:val="28"/>
          <w:szCs w:val="28"/>
        </w:rPr>
      </w:pPr>
    </w:p>
    <w:p w:rsidR="00A63CF9" w:rsidRDefault="007E7E1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Медицинская помощь, оказанная в рамках второго этапа профилактических медицинских осмотров несовершеннолетних и всех видов диспансеризации, оплачивается вне подушевого норматива финансирования в зависимости от фактически оказанных в рамках второго этапа медицинских услуг и посещений медицинского персонала.</w:t>
      </w:r>
    </w:p>
    <w:p w:rsidR="00A63CF9" w:rsidRDefault="00A63CF9">
      <w:pPr>
        <w:pStyle w:val="ConsPlusNormal"/>
        <w:ind w:firstLine="708"/>
        <w:jc w:val="both"/>
        <w:rPr>
          <w:rFonts w:ascii="Times New Roman" w:hAnsi="Times New Roman" w:cs="Times New Roman"/>
          <w:color w:val="000000" w:themeColor="text1"/>
          <w:sz w:val="28"/>
          <w:szCs w:val="28"/>
        </w:rPr>
      </w:pPr>
    </w:p>
    <w:p w:rsidR="00A63CF9" w:rsidRDefault="007E7E15">
      <w:pPr>
        <w:ind w:right="64" w:firstLine="540"/>
        <w:jc w:val="both"/>
        <w:rPr>
          <w:rFonts w:eastAsiaTheme="minorEastAsia"/>
          <w:color w:val="000000" w:themeColor="text1"/>
          <w:sz w:val="28"/>
          <w:szCs w:val="28"/>
        </w:rPr>
      </w:pPr>
      <w:r>
        <w:rPr>
          <w:rFonts w:eastAsiaTheme="minorEastAsia"/>
          <w:color w:val="000000" w:themeColor="text1"/>
          <w:sz w:val="28"/>
          <w:szCs w:val="28"/>
        </w:rPr>
        <w:t xml:space="preserve">Комплексное посещение с профилактическими целями центров здоровья осуществляется вне подушевого норматива финансирования первичной медико-санитарной помощи в амбулаторных условиях за единицу объема. </w:t>
      </w:r>
    </w:p>
    <w:p w:rsidR="00A63CF9" w:rsidRDefault="007E7E15">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Объем профилактических, диагностических, лечебных и реабилитационных мероприятий комплексного посещения в рамках диспансерного наблюдения определяется медицинским работником, в соответствии с </w:t>
      </w:r>
      <w:hyperlink r:id="rId7">
        <w:r>
          <w:rPr>
            <w:rFonts w:ascii="Times New Roman" w:hAnsi="Times New Roman" w:cs="Times New Roman"/>
            <w:color w:val="000000" w:themeColor="text1"/>
            <w:sz w:val="28"/>
            <w:szCs w:val="28"/>
          </w:rPr>
          <w:t>Порядком</w:t>
        </w:r>
      </w:hyperlink>
      <w:r>
        <w:rPr>
          <w:rFonts w:ascii="Times New Roman" w:hAnsi="Times New Roman" w:cs="Times New Roman"/>
          <w:color w:val="000000" w:themeColor="text1"/>
          <w:sz w:val="28"/>
          <w:szCs w:val="28"/>
        </w:rPr>
        <w:t xml:space="preserve"> диспансерного наблюдения за взрослыми, утвержденным приказом Министерства здравоохранения Российской Федерации от 15.03.2022г. № 168н, </w:t>
      </w:r>
      <w:hyperlink r:id="rId8">
        <w:r>
          <w:rPr>
            <w:rFonts w:ascii="Times New Roman" w:hAnsi="Times New Roman" w:cs="Times New Roman"/>
            <w:color w:val="000000" w:themeColor="text1"/>
            <w:sz w:val="28"/>
            <w:szCs w:val="28"/>
          </w:rPr>
          <w:t>Порядком</w:t>
        </w:r>
      </w:hyperlink>
      <w:r>
        <w:rPr>
          <w:rFonts w:ascii="Times New Roman" w:hAnsi="Times New Roman" w:cs="Times New Roman"/>
          <w:color w:val="000000" w:themeColor="text1"/>
          <w:sz w:val="28"/>
          <w:szCs w:val="28"/>
        </w:rPr>
        <w:t xml:space="preserve"> диспансерного наблюдения за взрослыми с онкологическими заболеваниями, утвержденным приказом Министерства здравоохранения Российской Федерации от 04.06.2020г. № 548н, с учетом стандартов медицинской помощи и на основе клинических рекомендаций.</w:t>
      </w:r>
    </w:p>
    <w:p w:rsidR="00A63CF9" w:rsidRDefault="007E7E15">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w:t>
      </w:r>
      <w:r w:rsidR="00745DD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ранее сформированных хронических неинфекционных заболеваний (далее - диспансерное наблюдение работающих граждан).</w:t>
      </w:r>
    </w:p>
    <w:p w:rsidR="00A63CF9" w:rsidRDefault="007E7E15">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Организация диспансерного наблюдения работающих граждан может осуществляться:</w:t>
      </w:r>
    </w:p>
    <w:p w:rsidR="00A63CF9" w:rsidRDefault="007E7E15">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A63CF9" w:rsidRDefault="007E7E15">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A63CF9" w:rsidRDefault="007E7E15">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A63CF9" w:rsidRDefault="007E7E15">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Если медицинская организация, осуществляющая диспансерное наблюдение работающего гражданина в соответствии с разделом </w:t>
      </w:r>
      <w:r>
        <w:rPr>
          <w:rFonts w:ascii="Times New Roman" w:hAnsi="Times New Roman" w:cs="Times New Roman"/>
          <w:color w:val="000000" w:themeColor="text1"/>
          <w:sz w:val="28"/>
          <w:szCs w:val="28"/>
          <w:lang w:val="en-US"/>
        </w:rPr>
        <w:t>IV</w:t>
      </w:r>
      <w:r>
        <w:rPr>
          <w:rFonts w:ascii="Times New Roman" w:hAnsi="Times New Roman" w:cs="Times New Roman"/>
          <w:color w:val="000000" w:themeColor="text1"/>
          <w:sz w:val="28"/>
          <w:szCs w:val="28"/>
        </w:rPr>
        <w:t xml:space="preserve"> Территориальной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A63CF9" w:rsidRDefault="00A63CF9">
      <w:pPr>
        <w:pStyle w:val="ConsPlusNormal"/>
        <w:ind w:firstLine="540"/>
        <w:jc w:val="both"/>
        <w:rPr>
          <w:rFonts w:ascii="Times New Roman" w:hAnsi="Times New Roman" w:cs="Times New Roman"/>
          <w:color w:val="000000" w:themeColor="text1"/>
          <w:sz w:val="28"/>
          <w:szCs w:val="28"/>
        </w:rPr>
      </w:pPr>
    </w:p>
    <w:p w:rsidR="00A63CF9" w:rsidRDefault="007E7E15">
      <w:pPr>
        <w:pStyle w:val="ConsPlusNormal"/>
        <w:ind w:firstLine="540"/>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Подушевой</w:t>
      </w:r>
      <w:proofErr w:type="spellEnd"/>
      <w:r>
        <w:rPr>
          <w:rFonts w:ascii="Times New Roman" w:hAnsi="Times New Roman" w:cs="Times New Roman"/>
          <w:color w:val="000000" w:themeColor="text1"/>
          <w:sz w:val="28"/>
          <w:szCs w:val="28"/>
        </w:rPr>
        <w:t xml:space="preserve"> норматив финансирования медицинской помощи </w:t>
      </w:r>
      <w:r>
        <w:rPr>
          <w:rFonts w:ascii="Times New Roman" w:hAnsi="Times New Roman" w:cs="Times New Roman"/>
          <w:color w:val="000000" w:themeColor="text1"/>
          <w:sz w:val="28"/>
          <w:szCs w:val="28"/>
        </w:rPr>
        <w:br/>
        <w:t xml:space="preserve">в амбулаторных условиях (за исключением медицинской помощи по профилю «медицинская реабилитация», оказанной гражданам на дому) </w:t>
      </w:r>
      <w:r>
        <w:rPr>
          <w:rFonts w:ascii="Times New Roman" w:hAnsi="Times New Roman" w:cs="Times New Roman"/>
          <w:color w:val="000000" w:themeColor="text1"/>
          <w:sz w:val="28"/>
          <w:szCs w:val="28"/>
        </w:rPr>
        <w:br/>
        <w:t xml:space="preserve">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w:t>
      </w:r>
      <w:proofErr w:type="spellStart"/>
      <w:r>
        <w:rPr>
          <w:rFonts w:ascii="Times New Roman" w:hAnsi="Times New Roman" w:cs="Times New Roman"/>
          <w:color w:val="000000" w:themeColor="text1"/>
          <w:sz w:val="28"/>
          <w:szCs w:val="28"/>
        </w:rPr>
        <w:t>референс</w:t>
      </w:r>
      <w:proofErr w:type="spellEnd"/>
      <w:r>
        <w:rPr>
          <w:rFonts w:ascii="Times New Roman" w:hAnsi="Times New Roman" w:cs="Times New Roman"/>
          <w:color w:val="000000" w:themeColor="text1"/>
          <w:sz w:val="28"/>
          <w:szCs w:val="28"/>
        </w:rPr>
        <w:t xml:space="preserve">-центрах, за исключением расходов на оплату телемедицинских (дистанционных) консультаций, проведенных медицинскими организациями, не имеющими прикреплённого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w:t>
      </w:r>
    </w:p>
    <w:p w:rsidR="00A63CF9" w:rsidRDefault="00A63CF9">
      <w:pPr>
        <w:ind w:left="160" w:right="64" w:firstLine="380"/>
        <w:jc w:val="both"/>
        <w:rPr>
          <w:rFonts w:eastAsiaTheme="minorEastAsia"/>
          <w:color w:val="000000" w:themeColor="text1"/>
          <w:sz w:val="28"/>
          <w:szCs w:val="28"/>
        </w:rPr>
      </w:pPr>
    </w:p>
    <w:p w:rsidR="00A63CF9" w:rsidRDefault="007E7E15">
      <w:pPr>
        <w:ind w:left="160" w:right="64" w:firstLine="380"/>
        <w:jc w:val="both"/>
        <w:rPr>
          <w:rFonts w:eastAsiaTheme="minorEastAsia"/>
          <w:color w:val="000000" w:themeColor="text1"/>
          <w:sz w:val="28"/>
          <w:szCs w:val="28"/>
        </w:rPr>
      </w:pPr>
      <w:proofErr w:type="spellStart"/>
      <w:r>
        <w:rPr>
          <w:rFonts w:eastAsiaTheme="minorEastAsia"/>
          <w:color w:val="000000" w:themeColor="text1"/>
          <w:sz w:val="28"/>
          <w:szCs w:val="28"/>
        </w:rPr>
        <w:t>Доабортное</w:t>
      </w:r>
      <w:proofErr w:type="spellEnd"/>
      <w:r>
        <w:rPr>
          <w:rFonts w:eastAsiaTheme="minorEastAsia"/>
          <w:color w:val="000000" w:themeColor="text1"/>
          <w:sz w:val="28"/>
          <w:szCs w:val="28"/>
        </w:rPr>
        <w:t xml:space="preserve"> консультирование беременных женщин, включая консультацию психолога, в целях профилактики прерывания беременности, осуществляемое в соответствии с порядком №1130н, оплачивается за счет средств обязательного медицинского страхования как профилактическое посещение к акушеру-гинекологу. </w:t>
      </w:r>
    </w:p>
    <w:p w:rsidR="00A63CF9" w:rsidRDefault="007E7E15">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Расходы на правовую, психологическую и медико-социальную помощь беременным женщинам не учитываются в стоимости территориальной программы обязательного медицинского страхования и оплачиваются за счет средств родовых сертификатов.</w:t>
      </w:r>
    </w:p>
    <w:p w:rsidR="00A63CF9" w:rsidRDefault="007E7E15">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A63CF9" w:rsidRDefault="007E7E15">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работником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 </w:t>
      </w:r>
    </w:p>
    <w:p w:rsidR="00A63CF9" w:rsidRPr="007E7E15" w:rsidRDefault="007E7E15">
      <w:pPr>
        <w:ind w:left="160" w:right="64" w:firstLine="708"/>
        <w:jc w:val="both"/>
        <w:rPr>
          <w:rFonts w:eastAsiaTheme="minorEastAsia"/>
          <w:color w:val="000000" w:themeColor="text1"/>
          <w:sz w:val="28"/>
          <w:szCs w:val="28"/>
        </w:rPr>
      </w:pPr>
      <w:r w:rsidRPr="007E7E15">
        <w:rPr>
          <w:rFonts w:eastAsiaTheme="minorEastAsia"/>
          <w:color w:val="000000" w:themeColor="text1"/>
          <w:sz w:val="28"/>
          <w:szCs w:val="28"/>
        </w:rPr>
        <w:t xml:space="preserve">Финансовое обеспечение медицинской помощи с применением телемедицинских технологий осуществляется: </w:t>
      </w:r>
    </w:p>
    <w:p w:rsidR="00A63CF9" w:rsidRPr="007E7E15" w:rsidRDefault="007E7E15" w:rsidP="00BE4BCA">
      <w:pPr>
        <w:numPr>
          <w:ilvl w:val="0"/>
          <w:numId w:val="4"/>
        </w:numPr>
        <w:spacing w:after="5" w:line="249" w:lineRule="auto"/>
        <w:ind w:left="142" w:right="64" w:firstLine="708"/>
        <w:jc w:val="both"/>
        <w:rPr>
          <w:color w:val="000000" w:themeColor="text1"/>
          <w:sz w:val="28"/>
          <w:szCs w:val="28"/>
        </w:rPr>
      </w:pPr>
      <w:r w:rsidRPr="007E7E15">
        <w:rPr>
          <w:color w:val="000000" w:themeColor="text1"/>
          <w:sz w:val="28"/>
          <w:szCs w:val="28"/>
        </w:rPr>
        <w:t>в медицинских организациях, не имеющих прикрепленного населения (при оказании медицинской помощи с применением телемедицинских технологий в медицинских организациях, не имеющих прикрепленн</w:t>
      </w:r>
      <w:r w:rsidR="00BE4BCA">
        <w:rPr>
          <w:color w:val="000000" w:themeColor="text1"/>
          <w:sz w:val="28"/>
          <w:szCs w:val="28"/>
        </w:rPr>
        <w:t>о</w:t>
      </w:r>
      <w:r w:rsidRPr="007E7E15">
        <w:rPr>
          <w:color w:val="000000" w:themeColor="text1"/>
          <w:sz w:val="28"/>
          <w:szCs w:val="28"/>
        </w:rPr>
        <w:t>го населения с привлечением медицинской организации, не имеющей прикрепленн</w:t>
      </w:r>
      <w:r w:rsidR="00BE4BCA">
        <w:rPr>
          <w:color w:val="000000" w:themeColor="text1"/>
          <w:sz w:val="28"/>
          <w:szCs w:val="28"/>
        </w:rPr>
        <w:t>о</w:t>
      </w:r>
      <w:r w:rsidRPr="007E7E15">
        <w:rPr>
          <w:color w:val="000000" w:themeColor="text1"/>
          <w:sz w:val="28"/>
          <w:szCs w:val="28"/>
        </w:rPr>
        <w:t xml:space="preserve">го населения) – за единицу объема медицинской помощи; </w:t>
      </w:r>
    </w:p>
    <w:p w:rsidR="00A63CF9" w:rsidRPr="007E7E15" w:rsidRDefault="007E7E15" w:rsidP="00BE4BCA">
      <w:pPr>
        <w:ind w:right="64" w:firstLine="708"/>
        <w:jc w:val="both"/>
        <w:rPr>
          <w:rFonts w:eastAsiaTheme="minorEastAsia"/>
          <w:color w:val="000000" w:themeColor="text1"/>
          <w:sz w:val="28"/>
          <w:szCs w:val="28"/>
        </w:rPr>
      </w:pPr>
      <w:r w:rsidRPr="007E7E15">
        <w:rPr>
          <w:rFonts w:eastAsiaTheme="minorEastAsia"/>
          <w:color w:val="000000" w:themeColor="text1"/>
          <w:sz w:val="28"/>
          <w:szCs w:val="28"/>
        </w:rPr>
        <w:t xml:space="preserve">- </w:t>
      </w:r>
      <w:r w:rsidRPr="007E7E15">
        <w:rPr>
          <w:color w:val="000000" w:themeColor="text1"/>
          <w:sz w:val="28"/>
          <w:szCs w:val="28"/>
        </w:rPr>
        <w:t>в медицинских организациях, имеющих прикрепленное население</w:t>
      </w:r>
      <w:r w:rsidRPr="007E7E15">
        <w:rPr>
          <w:rFonts w:eastAsiaTheme="minorEastAsia"/>
          <w:color w:val="000000" w:themeColor="text1"/>
          <w:sz w:val="28"/>
          <w:szCs w:val="28"/>
        </w:rPr>
        <w:t xml:space="preserve"> (при оказании медицинской помощи застрахованному лицу, прикрепленному к указанной медицинской организации) – в рамках подушевого норматива финансирования; </w:t>
      </w:r>
    </w:p>
    <w:p w:rsidR="00A63CF9" w:rsidRPr="007E7E15" w:rsidRDefault="007E7E15" w:rsidP="00671ED7">
      <w:pPr>
        <w:ind w:right="64" w:firstLine="709"/>
        <w:jc w:val="both"/>
        <w:rPr>
          <w:rFonts w:eastAsiaTheme="minorEastAsia"/>
          <w:color w:val="000000" w:themeColor="text1"/>
          <w:sz w:val="28"/>
          <w:szCs w:val="28"/>
        </w:rPr>
      </w:pPr>
      <w:r w:rsidRPr="007E7E15">
        <w:rPr>
          <w:rFonts w:eastAsiaTheme="minorEastAsia"/>
          <w:color w:val="000000" w:themeColor="text1"/>
          <w:sz w:val="28"/>
          <w:szCs w:val="28"/>
        </w:rPr>
        <w:t>- в медицинских организациях, имеющих прикрепленное население (при оказании медицинской помощи застрахованному лицу, прикрепленному к иной медицинской организации) – в рамках межуч</w:t>
      </w:r>
      <w:r w:rsidR="00745DDF">
        <w:rPr>
          <w:rFonts w:eastAsiaTheme="minorEastAsia"/>
          <w:color w:val="000000" w:themeColor="text1"/>
          <w:sz w:val="28"/>
          <w:szCs w:val="28"/>
        </w:rPr>
        <w:t>е</w:t>
      </w:r>
      <w:r w:rsidRPr="007E7E15">
        <w:rPr>
          <w:rFonts w:eastAsiaTheme="minorEastAsia"/>
          <w:color w:val="000000" w:themeColor="text1"/>
          <w:sz w:val="28"/>
          <w:szCs w:val="28"/>
        </w:rPr>
        <w:t xml:space="preserve">режденческих расчетов из средств, получаемых по подушевому нормативу финансирования медицинской организацией, к которой прикреплено указанное застрахованное лицо; </w:t>
      </w:r>
    </w:p>
    <w:p w:rsidR="00A63CF9" w:rsidRPr="007E7E15" w:rsidRDefault="007E7E15">
      <w:pPr>
        <w:pStyle w:val="ConsPlusNormal"/>
        <w:ind w:firstLine="708"/>
        <w:jc w:val="both"/>
        <w:rPr>
          <w:rFonts w:ascii="Times New Roman" w:hAnsi="Times New Roman" w:cs="Times New Roman"/>
          <w:color w:val="000000" w:themeColor="text1"/>
          <w:sz w:val="28"/>
          <w:szCs w:val="28"/>
        </w:rPr>
      </w:pPr>
      <w:r w:rsidRPr="007E7E15">
        <w:rPr>
          <w:rFonts w:ascii="Times New Roman" w:hAnsi="Times New Roman"/>
          <w:color w:val="000000" w:themeColor="text1"/>
          <w:sz w:val="28"/>
          <w:szCs w:val="28"/>
        </w:rPr>
        <w:t>- в медицинских организациях, имеющих прикрепленное население (при оказании медицинской помощи застрахованному лицу, прикрепленному к медицинской организации с привлечением медицинской организации, не имеющей прикрепленного населения) – в рамках межуч</w:t>
      </w:r>
      <w:r w:rsidR="00745DDF">
        <w:rPr>
          <w:rFonts w:ascii="Times New Roman" w:hAnsi="Times New Roman"/>
          <w:color w:val="000000" w:themeColor="text1"/>
          <w:sz w:val="28"/>
          <w:szCs w:val="28"/>
        </w:rPr>
        <w:t>е</w:t>
      </w:r>
      <w:r w:rsidRPr="007E7E15">
        <w:rPr>
          <w:rFonts w:ascii="Times New Roman" w:hAnsi="Times New Roman"/>
          <w:color w:val="000000" w:themeColor="text1"/>
          <w:sz w:val="28"/>
          <w:szCs w:val="28"/>
        </w:rPr>
        <w:t>режденческих расчетов из средств, получаемых по подушевому нормативу финансирования медицинской организацией, к которой прикреплено указанное застрахованное лицо.</w:t>
      </w:r>
    </w:p>
    <w:p w:rsidR="00A63CF9" w:rsidRDefault="007E7E15">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отношении федеральных медицинских организаций, имеющих прикрепленное население, </w:t>
      </w:r>
      <w:proofErr w:type="spellStart"/>
      <w:r>
        <w:rPr>
          <w:rFonts w:ascii="Times New Roman" w:hAnsi="Times New Roman" w:cs="Times New Roman"/>
          <w:color w:val="000000" w:themeColor="text1"/>
          <w:sz w:val="28"/>
          <w:szCs w:val="28"/>
        </w:rPr>
        <w:t>подушевой</w:t>
      </w:r>
      <w:proofErr w:type="spellEnd"/>
      <w:r>
        <w:rPr>
          <w:rFonts w:ascii="Times New Roman" w:hAnsi="Times New Roman" w:cs="Times New Roman"/>
          <w:color w:val="000000" w:themeColor="text1"/>
          <w:sz w:val="28"/>
          <w:szCs w:val="28"/>
        </w:rPr>
        <w:t xml:space="preserve"> норматив финансирования медицинской помощи в амбулаторных условиях формируется в порядке, установленном в разделе VI Программы государственных гарантий бесплатного оказания гражданам медицинской помощи на 2025 год и на плановый период 2026 и 2027 годов.</w:t>
      </w:r>
    </w:p>
    <w:p w:rsidR="00A63CF9" w:rsidRDefault="00704AAE">
      <w:pPr>
        <w:pStyle w:val="ConsPlusNormal"/>
        <w:spacing w:before="220"/>
        <w:ind w:firstLine="540"/>
        <w:jc w:val="both"/>
        <w:rPr>
          <w:rFonts w:ascii="Times New Roman" w:hAnsi="Times New Roman" w:cs="Times New Roman"/>
          <w:color w:val="000000" w:themeColor="text1"/>
          <w:sz w:val="28"/>
          <w:szCs w:val="28"/>
        </w:rPr>
      </w:pPr>
      <w:hyperlink w:anchor="P28465">
        <w:r w:rsidR="007E7E15">
          <w:rPr>
            <w:rFonts w:ascii="Times New Roman" w:hAnsi="Times New Roman" w:cs="Times New Roman"/>
            <w:color w:val="000000" w:themeColor="text1"/>
            <w:sz w:val="28"/>
            <w:szCs w:val="28"/>
          </w:rPr>
          <w:t>Перечень</w:t>
        </w:r>
      </w:hyperlink>
      <w:r w:rsidR="007E7E15">
        <w:rPr>
          <w:rFonts w:ascii="Times New Roman" w:hAnsi="Times New Roman" w:cs="Times New Roman"/>
          <w:color w:val="000000" w:themeColor="text1"/>
          <w:sz w:val="28"/>
          <w:szCs w:val="28"/>
        </w:rPr>
        <w:t xml:space="preserve"> расходов на оказание медицинской помощи, оказываемой в амбулаторных условиях, финансовое обеспечение которых осуществляется по подушевому нормативу финансирования, в том числе в разрезе врачей-специалистов, приведен в Приложении № 38 к Тарифному соглашению.</w:t>
      </w:r>
    </w:p>
    <w:p w:rsidR="00A63CF9" w:rsidRDefault="007E7E15">
      <w:pPr>
        <w:pStyle w:val="ConsPlusNormal"/>
        <w:numPr>
          <w:ilvl w:val="0"/>
          <w:numId w:val="5"/>
        </w:numPr>
        <w:spacing w:before="2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 5 Главы 1 Раздела 2 изложить в новой редакции:</w:t>
      </w:r>
    </w:p>
    <w:p w:rsidR="00A63CF9" w:rsidRDefault="007E7E15">
      <w:pPr>
        <w:pStyle w:val="ConsPlusNormal"/>
        <w:spacing w:before="2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5. Расчет объема финансового обеспечения первичной медико-санитарной помощи в амбулаторных условиях.</w:t>
      </w:r>
    </w:p>
    <w:p w:rsidR="00A63CF9" w:rsidRDefault="007E7E15">
      <w:pPr>
        <w:pStyle w:val="ConsPlusNormal"/>
        <w:spacing w:before="220"/>
        <w:ind w:firstLine="540"/>
        <w:jc w:val="center"/>
        <w:rPr>
          <w:rFonts w:ascii="Times New Roman" w:hAnsi="Times New Roman" w:cs="Times New Roman"/>
          <w:strike/>
          <w:color w:val="000000" w:themeColor="text1"/>
          <w:sz w:val="28"/>
          <w:szCs w:val="28"/>
        </w:rPr>
      </w:pPr>
      <w:r>
        <w:rPr>
          <w:rFonts w:ascii="Times New Roman" w:hAnsi="Times New Roman" w:cs="Times New Roman"/>
          <w:color w:val="000000" w:themeColor="text1"/>
          <w:sz w:val="28"/>
          <w:szCs w:val="28"/>
        </w:rPr>
        <w:t xml:space="preserve">5.1. </w:t>
      </w:r>
      <w:r>
        <w:rPr>
          <w:rFonts w:ascii="Times New Roman" w:hAnsi="Times New Roman" w:cs="Times New Roman"/>
          <w:color w:val="000000" w:themeColor="text1"/>
          <w:sz w:val="28"/>
        </w:rPr>
        <w:t>Расчет объема средств на оплату медицинской помощи в амбулаторных условиях:</w:t>
      </w:r>
    </w:p>
    <w:p w:rsidR="00A63CF9" w:rsidRDefault="00A63CF9">
      <w:pPr>
        <w:pStyle w:val="ConsPlusNormal"/>
        <w:jc w:val="both"/>
        <w:rPr>
          <w:rFonts w:ascii="Times New Roman" w:hAnsi="Times New Roman" w:cs="Times New Roman"/>
          <w:strike/>
          <w:color w:val="000000" w:themeColor="text1"/>
          <w:sz w:val="28"/>
          <w:szCs w:val="28"/>
        </w:rPr>
      </w:pPr>
    </w:p>
    <w:p w:rsidR="00A63CF9" w:rsidRDefault="007E7E15">
      <w:pPr>
        <w:spacing w:after="5" w:line="249" w:lineRule="auto"/>
        <w:ind w:left="160" w:right="64" w:firstLine="556"/>
        <w:jc w:val="both"/>
        <w:rPr>
          <w:color w:val="000000" w:themeColor="text1"/>
          <w:sz w:val="28"/>
        </w:rPr>
      </w:pPr>
      <w:r>
        <w:rPr>
          <w:color w:val="000000" w:themeColor="text1"/>
          <w:sz w:val="28"/>
        </w:rPr>
        <w:t>Средний размер финансового обеспечения медицинской помощи,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w:t>
      </w:r>
      <w:r>
        <w:rPr>
          <w:rFonts w:ascii="Cambria Math" w:eastAsia="Cambria Math" w:hAnsi="Cambria Math" w:cs="Cambria Math"/>
          <w:color w:val="000000" w:themeColor="text1"/>
          <w:sz w:val="28"/>
        </w:rPr>
        <w:t>ФО</w:t>
      </w:r>
      <w:r>
        <w:rPr>
          <w:rFonts w:ascii="Cambria Math" w:eastAsia="Cambria Math" w:hAnsi="Cambria Math" w:cs="Cambria Math"/>
          <w:color w:val="000000" w:themeColor="text1"/>
          <w:sz w:val="28"/>
          <w:vertAlign w:val="superscript"/>
        </w:rPr>
        <w:t>АМБ</w:t>
      </w:r>
      <w:r>
        <w:rPr>
          <w:rFonts w:ascii="Cambria Math" w:eastAsia="Cambria Math" w:hAnsi="Cambria Math" w:cs="Cambria Math"/>
          <w:color w:val="000000" w:themeColor="text1"/>
          <w:sz w:val="28"/>
          <w:vertAlign w:val="subscript"/>
        </w:rPr>
        <w:t>СР</w:t>
      </w:r>
      <w:r>
        <w:rPr>
          <w:color w:val="000000" w:themeColor="text1"/>
          <w:sz w:val="28"/>
        </w:rPr>
        <w:t xml:space="preserve">), устанавливаемый в соответствии с Требованиями, определяется по следующей формуле: </w:t>
      </w:r>
    </w:p>
    <w:p w:rsidR="00A63CF9" w:rsidRDefault="007E7E15">
      <w:pPr>
        <w:spacing w:after="189"/>
        <w:ind w:left="742"/>
        <w:rPr>
          <w:color w:val="000000" w:themeColor="text1"/>
          <w:sz w:val="28"/>
        </w:rPr>
      </w:pPr>
      <w:r>
        <w:rPr>
          <w:color w:val="000000" w:themeColor="text1"/>
          <w:sz w:val="28"/>
        </w:rPr>
        <w:t xml:space="preserve"> </w:t>
      </w:r>
    </w:p>
    <w:p w:rsidR="00A63CF9" w:rsidRDefault="007E7E15">
      <w:pPr>
        <w:tabs>
          <w:tab w:val="center" w:pos="4310"/>
          <w:tab w:val="center" w:pos="5302"/>
        </w:tabs>
        <w:spacing w:after="3"/>
        <w:rPr>
          <w:color w:val="000000" w:themeColor="text1"/>
          <w:sz w:val="28"/>
        </w:rPr>
      </w:pPr>
      <w:r>
        <w:rPr>
          <w:rFonts w:ascii="Calibri" w:eastAsia="Calibri" w:hAnsi="Calibri" w:cs="Calibri"/>
          <w:color w:val="000000" w:themeColor="text1"/>
        </w:rPr>
        <w:tab/>
      </w:r>
      <w:r>
        <w:rPr>
          <w:rFonts w:ascii="Cambria Math" w:eastAsia="Cambria Math" w:hAnsi="Cambria Math" w:cs="Cambria Math"/>
          <w:color w:val="000000" w:themeColor="text1"/>
          <w:sz w:val="28"/>
        </w:rPr>
        <w:t>ФО</w:t>
      </w:r>
      <w:r>
        <w:rPr>
          <w:rFonts w:ascii="Cambria Math" w:eastAsia="Cambria Math" w:hAnsi="Cambria Math" w:cs="Cambria Math"/>
          <w:color w:val="000000" w:themeColor="text1"/>
          <w:sz w:val="28"/>
          <w:szCs w:val="28"/>
          <w:vertAlign w:val="superscript"/>
        </w:rPr>
        <w:t>АМБ</w:t>
      </w:r>
      <w:r>
        <w:rPr>
          <w:rFonts w:ascii="Cambria Math" w:eastAsia="Cambria Math" w:hAnsi="Cambria Math" w:cs="Cambria Math"/>
          <w:color w:val="000000" w:themeColor="text1"/>
          <w:sz w:val="28"/>
          <w:szCs w:val="28"/>
          <w:vertAlign w:val="subscript"/>
        </w:rPr>
        <w:t>СР</w:t>
      </w:r>
      <w:r>
        <w:rPr>
          <w:rFonts w:ascii="Cambria Math" w:eastAsia="Cambria Math" w:hAnsi="Cambria Math" w:cs="Cambria Math"/>
          <w:color w:val="000000" w:themeColor="text1"/>
          <w:sz w:val="20"/>
        </w:rPr>
        <w:tab/>
      </w:r>
      <w:r>
        <w:rPr>
          <w:rFonts w:ascii="Cambria Math" w:eastAsia="Cambria Math" w:hAnsi="Cambria Math" w:cs="Cambria Math"/>
          <w:color w:val="000000" w:themeColor="text1"/>
          <w:sz w:val="28"/>
        </w:rPr>
        <w:t xml:space="preserve">= </w:t>
      </w:r>
      <m:oMath>
        <m:f>
          <m:fPr>
            <m:ctrlPr>
              <w:rPr>
                <w:rFonts w:ascii="Cambria Math" w:eastAsia="Cambria Math" w:hAnsi="Cambria Math" w:cs="Cambria Math"/>
                <w:color w:val="000000" w:themeColor="text1"/>
                <w:sz w:val="28"/>
                <w:szCs w:val="28"/>
              </w:rPr>
            </m:ctrlPr>
          </m:fPr>
          <m:num>
            <m:r>
              <m:rPr>
                <m:sty m:val="p"/>
              </m:rPr>
              <w:rPr>
                <w:rFonts w:ascii="Cambria Math" w:eastAsia="Cambria Math" w:hAnsi="Cambria Math" w:cs="Cambria Math"/>
                <w:color w:val="000000" w:themeColor="text1"/>
                <w:sz w:val="28"/>
                <w:szCs w:val="28"/>
              </w:rPr>
              <m:t>ОСАМБ</m:t>
            </m:r>
          </m:num>
          <m:den>
            <m:r>
              <w:rPr>
                <w:rFonts w:ascii="Cambria Math" w:eastAsia="Cambria Math" w:hAnsi="Cambria Math" w:cs="Cambria Math"/>
                <w:color w:val="000000" w:themeColor="text1"/>
                <w:sz w:val="28"/>
                <w:szCs w:val="28"/>
              </w:rPr>
              <m:t>Чз</m:t>
            </m:r>
          </m:den>
        </m:f>
      </m:oMath>
    </w:p>
    <w:tbl>
      <w:tblPr>
        <w:tblStyle w:val="TableGrid"/>
        <w:tblW w:w="9074" w:type="dxa"/>
        <w:tblInd w:w="175" w:type="dxa"/>
        <w:tblCellMar>
          <w:top w:w="7" w:type="dxa"/>
        </w:tblCellMar>
        <w:tblLook w:val="04A0" w:firstRow="1" w:lastRow="0" w:firstColumn="1" w:lastColumn="0" w:noHBand="0" w:noVBand="1"/>
      </w:tblPr>
      <w:tblGrid>
        <w:gridCol w:w="1649"/>
        <w:gridCol w:w="7425"/>
      </w:tblGrid>
      <w:tr w:rsidR="00A63CF9">
        <w:trPr>
          <w:trHeight w:val="367"/>
        </w:trPr>
        <w:tc>
          <w:tcPr>
            <w:tcW w:w="1649" w:type="dxa"/>
            <w:tcBorders>
              <w:top w:val="nil"/>
              <w:left w:val="nil"/>
              <w:bottom w:val="nil"/>
              <w:right w:val="nil"/>
            </w:tcBorders>
          </w:tcPr>
          <w:p w:rsidR="00A63CF9" w:rsidRDefault="007E7E15">
            <w:pPr>
              <w:rPr>
                <w:color w:val="000000" w:themeColor="text1"/>
                <w:sz w:val="28"/>
              </w:rPr>
            </w:pPr>
            <w:r>
              <w:rPr>
                <w:color w:val="000000" w:themeColor="text1"/>
                <w:sz w:val="28"/>
              </w:rPr>
              <w:t xml:space="preserve">где: </w:t>
            </w:r>
          </w:p>
        </w:tc>
        <w:tc>
          <w:tcPr>
            <w:tcW w:w="7425" w:type="dxa"/>
            <w:tcBorders>
              <w:top w:val="nil"/>
              <w:left w:val="nil"/>
              <w:bottom w:val="nil"/>
              <w:right w:val="nil"/>
            </w:tcBorders>
            <w:vAlign w:val="center"/>
          </w:tcPr>
          <w:p w:rsidR="00A63CF9" w:rsidRDefault="00A63CF9">
            <w:pPr>
              <w:rPr>
                <w:color w:val="000000" w:themeColor="text1"/>
                <w:sz w:val="28"/>
              </w:rPr>
            </w:pPr>
          </w:p>
        </w:tc>
      </w:tr>
      <w:tr w:rsidR="00A63CF9">
        <w:trPr>
          <w:trHeight w:val="1763"/>
        </w:trPr>
        <w:tc>
          <w:tcPr>
            <w:tcW w:w="1649" w:type="dxa"/>
            <w:tcBorders>
              <w:top w:val="nil"/>
              <w:left w:val="nil"/>
              <w:bottom w:val="nil"/>
              <w:right w:val="nil"/>
            </w:tcBorders>
          </w:tcPr>
          <w:p w:rsidR="00A63CF9" w:rsidRDefault="007E7E15">
            <w:pPr>
              <w:ind w:right="71"/>
              <w:jc w:val="center"/>
              <w:rPr>
                <w:color w:val="000000" w:themeColor="text1"/>
                <w:sz w:val="28"/>
              </w:rPr>
            </w:pPr>
            <w:r>
              <w:rPr>
                <w:rFonts w:ascii="Cambria Math" w:eastAsia="Cambria Math" w:hAnsi="Cambria Math" w:cs="Cambria Math"/>
                <w:color w:val="000000" w:themeColor="text1"/>
                <w:sz w:val="28"/>
              </w:rPr>
              <w:t>ОС</w:t>
            </w:r>
            <w:r>
              <w:rPr>
                <w:rFonts w:ascii="Cambria Math" w:eastAsia="Cambria Math" w:hAnsi="Cambria Math" w:cs="Cambria Math"/>
                <w:color w:val="000000" w:themeColor="text1"/>
                <w:sz w:val="28"/>
                <w:vertAlign w:val="subscript"/>
              </w:rPr>
              <w:t>АМБ</w:t>
            </w:r>
            <w:r>
              <w:rPr>
                <w:color w:val="000000" w:themeColor="text1"/>
              </w:rPr>
              <w:t xml:space="preserve"> </w:t>
            </w:r>
          </w:p>
        </w:tc>
        <w:tc>
          <w:tcPr>
            <w:tcW w:w="7425" w:type="dxa"/>
            <w:tcBorders>
              <w:top w:val="nil"/>
              <w:left w:val="nil"/>
              <w:bottom w:val="nil"/>
              <w:right w:val="nil"/>
            </w:tcBorders>
          </w:tcPr>
          <w:p w:rsidR="00A63CF9" w:rsidRDefault="007E7E15">
            <w:pPr>
              <w:ind w:right="70"/>
              <w:jc w:val="both"/>
              <w:rPr>
                <w:color w:val="000000" w:themeColor="text1"/>
                <w:sz w:val="28"/>
              </w:rPr>
            </w:pPr>
            <w:r>
              <w:rPr>
                <w:color w:val="000000" w:themeColor="text1"/>
                <w:sz w:val="28"/>
              </w:rPr>
              <w:t xml:space="preserve">объем средств на оплату медицинской помощи в амбулаторных условиях для медицинских организаций, участвующих в реализации территориальной программы обязательного медицинского страхования Иркутской области, рублей; </w:t>
            </w:r>
          </w:p>
        </w:tc>
      </w:tr>
      <w:tr w:rsidR="00A63CF9">
        <w:trPr>
          <w:trHeight w:val="740"/>
        </w:trPr>
        <w:tc>
          <w:tcPr>
            <w:tcW w:w="1649" w:type="dxa"/>
            <w:tcBorders>
              <w:top w:val="nil"/>
              <w:left w:val="nil"/>
              <w:bottom w:val="nil"/>
              <w:right w:val="nil"/>
            </w:tcBorders>
            <w:vAlign w:val="center"/>
          </w:tcPr>
          <w:p w:rsidR="00A63CF9" w:rsidRDefault="007E7E15">
            <w:pPr>
              <w:ind w:right="75"/>
              <w:jc w:val="center"/>
              <w:rPr>
                <w:color w:val="000000" w:themeColor="text1"/>
                <w:sz w:val="28"/>
              </w:rPr>
            </w:pPr>
            <w:r>
              <w:rPr>
                <w:rFonts w:ascii="Cambria Math" w:eastAsia="Cambria Math" w:hAnsi="Cambria Math" w:cs="Cambria Math"/>
                <w:color w:val="000000" w:themeColor="text1"/>
                <w:sz w:val="28"/>
              </w:rPr>
              <w:t>Ч</w:t>
            </w:r>
            <w:r>
              <w:rPr>
                <w:rFonts w:ascii="Cambria Math" w:eastAsia="Cambria Math" w:hAnsi="Cambria Math" w:cs="Cambria Math"/>
                <w:color w:val="000000" w:themeColor="text1"/>
                <w:sz w:val="28"/>
                <w:vertAlign w:val="subscript"/>
              </w:rPr>
              <w:t>З</w:t>
            </w:r>
            <w:r>
              <w:rPr>
                <w:color w:val="000000" w:themeColor="text1"/>
              </w:rPr>
              <w:t xml:space="preserve"> </w:t>
            </w:r>
          </w:p>
        </w:tc>
        <w:tc>
          <w:tcPr>
            <w:tcW w:w="7425" w:type="dxa"/>
            <w:tcBorders>
              <w:top w:val="nil"/>
              <w:left w:val="nil"/>
              <w:bottom w:val="nil"/>
              <w:right w:val="nil"/>
            </w:tcBorders>
            <w:vAlign w:val="bottom"/>
          </w:tcPr>
          <w:p w:rsidR="00A63CF9" w:rsidRDefault="007E7E15">
            <w:pPr>
              <w:jc w:val="both"/>
              <w:rPr>
                <w:color w:val="000000" w:themeColor="text1"/>
                <w:sz w:val="28"/>
              </w:rPr>
            </w:pPr>
            <w:r>
              <w:rPr>
                <w:color w:val="000000" w:themeColor="text1"/>
                <w:sz w:val="28"/>
              </w:rPr>
              <w:t xml:space="preserve">численность застрахованного населения Иркутской области, человек. </w:t>
            </w:r>
          </w:p>
        </w:tc>
      </w:tr>
    </w:tbl>
    <w:p w:rsidR="00A63CF9" w:rsidRDefault="007E7E15">
      <w:pPr>
        <w:spacing w:after="5"/>
        <w:ind w:left="742"/>
        <w:rPr>
          <w:color w:val="000000" w:themeColor="text1"/>
          <w:sz w:val="28"/>
        </w:rPr>
      </w:pPr>
      <w:r>
        <w:rPr>
          <w:color w:val="000000" w:themeColor="text1"/>
          <w:sz w:val="28"/>
        </w:rPr>
        <w:t xml:space="preserve"> </w:t>
      </w:r>
    </w:p>
    <w:p w:rsidR="00A63CF9" w:rsidRDefault="007E7E15">
      <w:pPr>
        <w:spacing w:after="5" w:line="249" w:lineRule="auto"/>
        <w:ind w:left="160" w:right="64" w:firstLine="556"/>
        <w:jc w:val="both"/>
        <w:rPr>
          <w:color w:val="000000" w:themeColor="text1"/>
          <w:sz w:val="28"/>
        </w:rPr>
      </w:pPr>
      <w:r>
        <w:rPr>
          <w:color w:val="000000" w:themeColor="text1"/>
          <w:sz w:val="28"/>
        </w:rPr>
        <w:t xml:space="preserve">Объем средств на оплату медицинской помощи в амбулаторных условиях для медицинских организаций, участвующих в реализации территориальной программы обязательного медицинского страхования Иркутской области, определяется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по следующей формуле: </w:t>
      </w:r>
    </w:p>
    <w:p w:rsidR="00A63CF9" w:rsidRDefault="007E7E15">
      <w:pPr>
        <w:spacing w:after="92"/>
        <w:ind w:left="175"/>
        <w:rPr>
          <w:color w:val="000000" w:themeColor="text1"/>
          <w:sz w:val="28"/>
        </w:rPr>
      </w:pPr>
      <w:r>
        <w:rPr>
          <w:color w:val="000000" w:themeColor="text1"/>
          <w:sz w:val="28"/>
        </w:rPr>
        <w:t xml:space="preserve"> </w:t>
      </w:r>
    </w:p>
    <w:p w:rsidR="00A63CF9" w:rsidRDefault="007E7E15">
      <w:pPr>
        <w:spacing w:after="87"/>
        <w:ind w:left="545" w:hanging="10"/>
        <w:rPr>
          <w:color w:val="000000" w:themeColor="text1"/>
          <w:sz w:val="28"/>
        </w:rPr>
      </w:pPr>
      <w:r>
        <w:rPr>
          <w:rFonts w:ascii="Cambria Math" w:eastAsia="Cambria Math" w:hAnsi="Cambria Math" w:cs="Cambria Math"/>
          <w:color w:val="000000" w:themeColor="text1"/>
          <w:sz w:val="28"/>
        </w:rPr>
        <w:t>ОС</w:t>
      </w:r>
      <w:r>
        <w:rPr>
          <w:rFonts w:ascii="Cambria Math" w:eastAsia="Cambria Math" w:hAnsi="Cambria Math" w:cs="Cambria Math"/>
          <w:color w:val="000000" w:themeColor="text1"/>
          <w:sz w:val="20"/>
        </w:rPr>
        <w:t xml:space="preserve">АМБ </w:t>
      </w:r>
      <w:r>
        <w:rPr>
          <w:rFonts w:ascii="Cambria Math" w:eastAsia="Cambria Math" w:hAnsi="Cambria Math" w:cs="Cambria Math"/>
          <w:color w:val="000000" w:themeColor="text1"/>
          <w:sz w:val="28"/>
        </w:rPr>
        <w:t>= (</w:t>
      </w:r>
      <w:proofErr w:type="spellStart"/>
      <w:r>
        <w:rPr>
          <w:rFonts w:ascii="Cambria Math" w:eastAsia="Cambria Math" w:hAnsi="Cambria Math" w:cs="Cambria Math"/>
          <w:color w:val="000000" w:themeColor="text1"/>
          <w:sz w:val="28"/>
        </w:rPr>
        <w:t>Но</w:t>
      </w:r>
      <w:r>
        <w:rPr>
          <w:rFonts w:ascii="Cambria Math" w:eastAsia="Cambria Math" w:hAnsi="Cambria Math" w:cs="Cambria Math"/>
          <w:color w:val="000000" w:themeColor="text1"/>
          <w:sz w:val="20"/>
        </w:rPr>
        <w:t>ПМО</w:t>
      </w:r>
      <w:proofErr w:type="spellEnd"/>
      <w:r>
        <w:rPr>
          <w:rFonts w:ascii="Cambria Math" w:eastAsia="Cambria Math" w:hAnsi="Cambria Math" w:cs="Cambria Math"/>
          <w:color w:val="000000" w:themeColor="text1"/>
          <w:sz w:val="20"/>
        </w:rPr>
        <w:t xml:space="preserve"> </w:t>
      </w:r>
      <w:r>
        <w:rPr>
          <w:rFonts w:ascii="Cambria Math" w:eastAsia="Cambria Math" w:hAnsi="Cambria Math" w:cs="Cambria Math"/>
          <w:color w:val="000000" w:themeColor="text1"/>
          <w:sz w:val="28"/>
        </w:rPr>
        <w:t xml:space="preserve">× </w:t>
      </w:r>
      <w:proofErr w:type="spellStart"/>
      <w:r>
        <w:rPr>
          <w:rFonts w:ascii="Cambria Math" w:eastAsia="Cambria Math" w:hAnsi="Cambria Math" w:cs="Cambria Math"/>
          <w:color w:val="000000" w:themeColor="text1"/>
          <w:sz w:val="28"/>
        </w:rPr>
        <w:t>Нфз</w:t>
      </w:r>
      <w:r>
        <w:rPr>
          <w:rFonts w:ascii="Cambria Math" w:eastAsia="Cambria Math" w:hAnsi="Cambria Math" w:cs="Cambria Math"/>
          <w:color w:val="000000" w:themeColor="text1"/>
          <w:sz w:val="20"/>
        </w:rPr>
        <w:t>ПМО</w:t>
      </w:r>
      <w:proofErr w:type="spellEnd"/>
      <w:r>
        <w:rPr>
          <w:rFonts w:ascii="Cambria Math" w:eastAsia="Cambria Math" w:hAnsi="Cambria Math" w:cs="Cambria Math"/>
          <w:color w:val="000000" w:themeColor="text1"/>
          <w:sz w:val="20"/>
        </w:rPr>
        <w:t xml:space="preserve"> </w:t>
      </w:r>
      <w:r>
        <w:rPr>
          <w:rFonts w:ascii="Cambria Math" w:eastAsia="Cambria Math" w:hAnsi="Cambria Math" w:cs="Cambria Math"/>
          <w:color w:val="000000" w:themeColor="text1"/>
          <w:sz w:val="28"/>
        </w:rPr>
        <w:t xml:space="preserve">+ </w:t>
      </w:r>
      <w:proofErr w:type="spellStart"/>
      <w:r>
        <w:rPr>
          <w:rFonts w:ascii="Cambria Math" w:eastAsia="Cambria Math" w:hAnsi="Cambria Math" w:cs="Cambria Math"/>
          <w:color w:val="000000" w:themeColor="text1"/>
          <w:sz w:val="28"/>
        </w:rPr>
        <w:t>Но</w:t>
      </w:r>
      <w:r>
        <w:rPr>
          <w:rFonts w:ascii="Cambria Math" w:eastAsia="Cambria Math" w:hAnsi="Cambria Math" w:cs="Cambria Math"/>
          <w:color w:val="000000" w:themeColor="text1"/>
          <w:sz w:val="20"/>
        </w:rPr>
        <w:t>ДИСП</w:t>
      </w:r>
      <w:proofErr w:type="spellEnd"/>
      <w:r>
        <w:rPr>
          <w:rFonts w:ascii="Cambria Math" w:eastAsia="Cambria Math" w:hAnsi="Cambria Math" w:cs="Cambria Math"/>
          <w:color w:val="000000" w:themeColor="text1"/>
          <w:sz w:val="20"/>
        </w:rPr>
        <w:t xml:space="preserve"> </w:t>
      </w:r>
      <w:r>
        <w:rPr>
          <w:rFonts w:ascii="Cambria Math" w:eastAsia="Cambria Math" w:hAnsi="Cambria Math" w:cs="Cambria Math"/>
          <w:color w:val="000000" w:themeColor="text1"/>
          <w:sz w:val="28"/>
        </w:rPr>
        <w:t xml:space="preserve">× </w:t>
      </w:r>
      <w:proofErr w:type="spellStart"/>
      <w:r>
        <w:rPr>
          <w:rFonts w:ascii="Cambria Math" w:eastAsia="Cambria Math" w:hAnsi="Cambria Math" w:cs="Cambria Math"/>
          <w:color w:val="000000" w:themeColor="text1"/>
          <w:sz w:val="28"/>
        </w:rPr>
        <w:t>Нфз</w:t>
      </w:r>
      <w:r>
        <w:rPr>
          <w:rFonts w:ascii="Cambria Math" w:eastAsia="Cambria Math" w:hAnsi="Cambria Math" w:cs="Cambria Math"/>
          <w:color w:val="000000" w:themeColor="text1"/>
          <w:sz w:val="20"/>
        </w:rPr>
        <w:t>ДИСП</w:t>
      </w:r>
      <w:proofErr w:type="spellEnd"/>
      <w:r>
        <w:rPr>
          <w:rFonts w:ascii="Cambria Math" w:eastAsia="Cambria Math" w:hAnsi="Cambria Math" w:cs="Cambria Math"/>
          <w:color w:val="000000" w:themeColor="text1"/>
          <w:sz w:val="20"/>
        </w:rPr>
        <w:t xml:space="preserve"> </w:t>
      </w:r>
      <w:r>
        <w:rPr>
          <w:rFonts w:ascii="Cambria Math" w:eastAsia="Cambria Math" w:hAnsi="Cambria Math" w:cs="Cambria Math"/>
          <w:color w:val="000000" w:themeColor="text1"/>
          <w:sz w:val="28"/>
        </w:rPr>
        <w:t xml:space="preserve">+ </w:t>
      </w:r>
      <w:proofErr w:type="spellStart"/>
      <w:r>
        <w:rPr>
          <w:rFonts w:ascii="Cambria Math" w:eastAsia="Cambria Math" w:hAnsi="Cambria Math" w:cs="Cambria Math"/>
          <w:color w:val="000000" w:themeColor="text1"/>
          <w:sz w:val="28"/>
        </w:rPr>
        <w:t>Но</w:t>
      </w:r>
      <w:r>
        <w:rPr>
          <w:rFonts w:ascii="Cambria Math" w:eastAsia="Cambria Math" w:hAnsi="Cambria Math" w:cs="Cambria Math"/>
          <w:color w:val="000000" w:themeColor="text1"/>
          <w:sz w:val="20"/>
        </w:rPr>
        <w:t>РЕПР</w:t>
      </w:r>
      <w:proofErr w:type="spellEnd"/>
      <w:r>
        <w:rPr>
          <w:rFonts w:ascii="Cambria Math" w:eastAsia="Cambria Math" w:hAnsi="Cambria Math" w:cs="Cambria Math"/>
          <w:color w:val="000000" w:themeColor="text1"/>
          <w:sz w:val="20"/>
        </w:rPr>
        <w:t xml:space="preserve"> </w:t>
      </w:r>
      <w:r>
        <w:rPr>
          <w:rFonts w:ascii="Cambria Math" w:eastAsia="Cambria Math" w:hAnsi="Cambria Math" w:cs="Cambria Math"/>
          <w:color w:val="000000" w:themeColor="text1"/>
          <w:sz w:val="28"/>
        </w:rPr>
        <w:t xml:space="preserve">× </w:t>
      </w:r>
      <w:proofErr w:type="spellStart"/>
      <w:r>
        <w:rPr>
          <w:rFonts w:ascii="Cambria Math" w:eastAsia="Cambria Math" w:hAnsi="Cambria Math" w:cs="Cambria Math"/>
          <w:color w:val="000000" w:themeColor="text1"/>
          <w:sz w:val="28"/>
        </w:rPr>
        <w:t>Нфз</w:t>
      </w:r>
      <w:r>
        <w:rPr>
          <w:rFonts w:ascii="Cambria Math" w:eastAsia="Cambria Math" w:hAnsi="Cambria Math" w:cs="Cambria Math"/>
          <w:color w:val="000000" w:themeColor="text1"/>
          <w:sz w:val="20"/>
        </w:rPr>
        <w:t>РЕПР</w:t>
      </w:r>
      <w:proofErr w:type="spellEnd"/>
      <w:r>
        <w:rPr>
          <w:rFonts w:ascii="Cambria Math" w:eastAsia="Cambria Math" w:hAnsi="Cambria Math" w:cs="Cambria Math"/>
          <w:color w:val="000000" w:themeColor="text1"/>
          <w:sz w:val="20"/>
        </w:rPr>
        <w:t xml:space="preserve"> </w:t>
      </w:r>
      <w:r>
        <w:rPr>
          <w:rFonts w:ascii="Cambria Math" w:eastAsia="Cambria Math" w:hAnsi="Cambria Math" w:cs="Cambria Math"/>
          <w:color w:val="000000" w:themeColor="text1"/>
          <w:sz w:val="28"/>
        </w:rPr>
        <w:t>+</w:t>
      </w:r>
    </w:p>
    <w:p w:rsidR="00A63CF9" w:rsidRDefault="007E7E15">
      <w:pPr>
        <w:spacing w:after="83"/>
        <w:ind w:left="776" w:hanging="10"/>
        <w:rPr>
          <w:color w:val="000000" w:themeColor="text1"/>
          <w:sz w:val="28"/>
        </w:rPr>
      </w:pPr>
      <w:r>
        <w:rPr>
          <w:rFonts w:ascii="Cambria Math" w:eastAsia="Cambria Math" w:hAnsi="Cambria Math" w:cs="Cambria Math"/>
          <w:color w:val="000000" w:themeColor="text1"/>
          <w:sz w:val="28"/>
        </w:rPr>
        <w:t>+</w:t>
      </w:r>
      <w:proofErr w:type="spellStart"/>
      <w:r>
        <w:rPr>
          <w:rFonts w:ascii="Cambria Math" w:eastAsia="Cambria Math" w:hAnsi="Cambria Math" w:cs="Cambria Math"/>
          <w:color w:val="000000" w:themeColor="text1"/>
          <w:sz w:val="28"/>
        </w:rPr>
        <w:t>Но</w:t>
      </w:r>
      <w:r>
        <w:rPr>
          <w:rFonts w:ascii="Cambria Math" w:eastAsia="Cambria Math" w:hAnsi="Cambria Math" w:cs="Cambria Math"/>
          <w:color w:val="000000" w:themeColor="text1"/>
          <w:sz w:val="20"/>
        </w:rPr>
        <w:t>ИЦ</w:t>
      </w:r>
      <w:proofErr w:type="spellEnd"/>
      <w:r>
        <w:rPr>
          <w:rFonts w:ascii="Cambria Math" w:eastAsia="Cambria Math" w:hAnsi="Cambria Math" w:cs="Cambria Math"/>
          <w:color w:val="000000" w:themeColor="text1"/>
          <w:sz w:val="20"/>
        </w:rPr>
        <w:t xml:space="preserve"> </w:t>
      </w:r>
      <w:r>
        <w:rPr>
          <w:rFonts w:ascii="Cambria Math" w:eastAsia="Cambria Math" w:hAnsi="Cambria Math" w:cs="Cambria Math"/>
          <w:color w:val="000000" w:themeColor="text1"/>
          <w:sz w:val="28"/>
        </w:rPr>
        <w:t xml:space="preserve">× </w:t>
      </w:r>
      <w:proofErr w:type="spellStart"/>
      <w:r>
        <w:rPr>
          <w:rFonts w:ascii="Cambria Math" w:eastAsia="Cambria Math" w:hAnsi="Cambria Math" w:cs="Cambria Math"/>
          <w:color w:val="000000" w:themeColor="text1"/>
          <w:sz w:val="28"/>
        </w:rPr>
        <w:t>Нфз</w:t>
      </w:r>
      <w:r>
        <w:rPr>
          <w:rFonts w:ascii="Cambria Math" w:eastAsia="Cambria Math" w:hAnsi="Cambria Math" w:cs="Cambria Math"/>
          <w:color w:val="000000" w:themeColor="text1"/>
          <w:sz w:val="20"/>
        </w:rPr>
        <w:t>ИЦ</w:t>
      </w:r>
      <w:proofErr w:type="spellEnd"/>
      <w:r>
        <w:rPr>
          <w:rFonts w:ascii="Cambria Math" w:eastAsia="Cambria Math" w:hAnsi="Cambria Math" w:cs="Cambria Math"/>
          <w:color w:val="000000" w:themeColor="text1"/>
          <w:sz w:val="20"/>
        </w:rPr>
        <w:t xml:space="preserve"> </w:t>
      </w:r>
      <w:r>
        <w:rPr>
          <w:rFonts w:ascii="Cambria Math" w:eastAsia="Cambria Math" w:hAnsi="Cambria Math" w:cs="Cambria Math"/>
          <w:color w:val="000000" w:themeColor="text1"/>
          <w:sz w:val="28"/>
        </w:rPr>
        <w:t xml:space="preserve">+ </w:t>
      </w:r>
      <w:proofErr w:type="spellStart"/>
      <w:r>
        <w:rPr>
          <w:rFonts w:ascii="Cambria Math" w:eastAsia="Cambria Math" w:hAnsi="Cambria Math" w:cs="Cambria Math"/>
          <w:color w:val="000000" w:themeColor="text1"/>
          <w:sz w:val="28"/>
        </w:rPr>
        <w:t>Но</w:t>
      </w:r>
      <w:r>
        <w:rPr>
          <w:rFonts w:ascii="Cambria Math" w:eastAsia="Cambria Math" w:hAnsi="Cambria Math" w:cs="Cambria Math"/>
          <w:color w:val="000000" w:themeColor="text1"/>
          <w:sz w:val="20"/>
        </w:rPr>
        <w:t>ОЗ</w:t>
      </w:r>
      <w:proofErr w:type="spellEnd"/>
      <w:r>
        <w:rPr>
          <w:rFonts w:ascii="Cambria Math" w:eastAsia="Cambria Math" w:hAnsi="Cambria Math" w:cs="Cambria Math"/>
          <w:color w:val="000000" w:themeColor="text1"/>
          <w:sz w:val="20"/>
        </w:rPr>
        <w:t xml:space="preserve"> </w:t>
      </w:r>
      <w:r>
        <w:rPr>
          <w:rFonts w:ascii="Cambria Math" w:eastAsia="Cambria Math" w:hAnsi="Cambria Math" w:cs="Cambria Math"/>
          <w:color w:val="000000" w:themeColor="text1"/>
          <w:sz w:val="28"/>
        </w:rPr>
        <w:t xml:space="preserve">× </w:t>
      </w:r>
      <w:proofErr w:type="spellStart"/>
      <w:r>
        <w:rPr>
          <w:rFonts w:ascii="Cambria Math" w:eastAsia="Cambria Math" w:hAnsi="Cambria Math" w:cs="Cambria Math"/>
          <w:color w:val="000000" w:themeColor="text1"/>
          <w:sz w:val="28"/>
        </w:rPr>
        <w:t>Нфз</w:t>
      </w:r>
      <w:r>
        <w:rPr>
          <w:rFonts w:ascii="Cambria Math" w:eastAsia="Cambria Math" w:hAnsi="Cambria Math" w:cs="Cambria Math"/>
          <w:color w:val="000000" w:themeColor="text1"/>
          <w:sz w:val="20"/>
        </w:rPr>
        <w:t>ОЗ</w:t>
      </w:r>
      <w:proofErr w:type="spellEnd"/>
      <w:r>
        <w:rPr>
          <w:rFonts w:ascii="Cambria Math" w:eastAsia="Cambria Math" w:hAnsi="Cambria Math" w:cs="Cambria Math"/>
          <w:color w:val="000000" w:themeColor="text1"/>
          <w:sz w:val="20"/>
        </w:rPr>
        <w:t xml:space="preserve"> </w:t>
      </w:r>
      <w:r>
        <w:rPr>
          <w:rFonts w:ascii="Cambria Math" w:eastAsia="Cambria Math" w:hAnsi="Cambria Math" w:cs="Cambria Math"/>
          <w:color w:val="000000" w:themeColor="text1"/>
          <w:sz w:val="28"/>
        </w:rPr>
        <w:t xml:space="preserve">+ </w:t>
      </w:r>
      <w:proofErr w:type="spellStart"/>
      <w:r>
        <w:rPr>
          <w:rFonts w:ascii="Cambria Math" w:eastAsia="Cambria Math" w:hAnsi="Cambria Math" w:cs="Cambria Math"/>
          <w:color w:val="000000" w:themeColor="text1"/>
          <w:sz w:val="28"/>
        </w:rPr>
        <w:t>Но</w:t>
      </w:r>
      <w:r>
        <w:rPr>
          <w:rFonts w:ascii="Cambria Math" w:eastAsia="Cambria Math" w:hAnsi="Cambria Math" w:cs="Cambria Math"/>
          <w:color w:val="000000" w:themeColor="text1"/>
          <w:sz w:val="20"/>
        </w:rPr>
        <w:t>Д</w:t>
      </w:r>
      <w:proofErr w:type="spellEnd"/>
      <w:r>
        <w:rPr>
          <w:rFonts w:ascii="Cambria Math" w:eastAsia="Cambria Math" w:hAnsi="Cambria Math" w:cs="Cambria Math"/>
          <w:color w:val="000000" w:themeColor="text1"/>
          <w:sz w:val="20"/>
        </w:rPr>
        <w:t xml:space="preserve">(Л)И </w:t>
      </w:r>
      <w:r>
        <w:rPr>
          <w:rFonts w:ascii="Cambria Math" w:eastAsia="Cambria Math" w:hAnsi="Cambria Math" w:cs="Cambria Math"/>
          <w:color w:val="000000" w:themeColor="text1"/>
          <w:sz w:val="28"/>
        </w:rPr>
        <w:t xml:space="preserve">× </w:t>
      </w:r>
      <w:proofErr w:type="spellStart"/>
      <w:r>
        <w:rPr>
          <w:rFonts w:ascii="Cambria Math" w:eastAsia="Cambria Math" w:hAnsi="Cambria Math" w:cs="Cambria Math"/>
          <w:color w:val="000000" w:themeColor="text1"/>
          <w:sz w:val="28"/>
        </w:rPr>
        <w:t>Нфз</w:t>
      </w:r>
      <w:r>
        <w:rPr>
          <w:rFonts w:ascii="Cambria Math" w:eastAsia="Cambria Math" w:hAnsi="Cambria Math" w:cs="Cambria Math"/>
          <w:color w:val="000000" w:themeColor="text1"/>
          <w:sz w:val="20"/>
        </w:rPr>
        <w:t>Д</w:t>
      </w:r>
      <w:proofErr w:type="spellEnd"/>
      <w:r>
        <w:rPr>
          <w:rFonts w:ascii="Cambria Math" w:eastAsia="Cambria Math" w:hAnsi="Cambria Math" w:cs="Cambria Math"/>
          <w:color w:val="000000" w:themeColor="text1"/>
          <w:sz w:val="20"/>
        </w:rPr>
        <w:t xml:space="preserve">(Л)И </w:t>
      </w:r>
      <w:r>
        <w:rPr>
          <w:rFonts w:ascii="Cambria Math" w:eastAsia="Cambria Math" w:hAnsi="Cambria Math" w:cs="Cambria Math"/>
          <w:color w:val="000000" w:themeColor="text1"/>
          <w:sz w:val="28"/>
        </w:rPr>
        <w:t xml:space="preserve">+ </w:t>
      </w:r>
      <w:proofErr w:type="spellStart"/>
      <w:r>
        <w:rPr>
          <w:rFonts w:ascii="Cambria Math" w:eastAsia="Cambria Math" w:hAnsi="Cambria Math" w:cs="Cambria Math"/>
          <w:color w:val="000000" w:themeColor="text1"/>
          <w:sz w:val="28"/>
        </w:rPr>
        <w:t>Но</w:t>
      </w:r>
      <w:r>
        <w:rPr>
          <w:rFonts w:ascii="Cambria Math" w:eastAsia="Cambria Math" w:hAnsi="Cambria Math" w:cs="Cambria Math"/>
          <w:color w:val="000000" w:themeColor="text1"/>
          <w:sz w:val="20"/>
        </w:rPr>
        <w:t>ШКОЛ</w:t>
      </w:r>
      <w:proofErr w:type="spellEnd"/>
      <w:r>
        <w:rPr>
          <w:rFonts w:ascii="Cambria Math" w:eastAsia="Cambria Math" w:hAnsi="Cambria Math" w:cs="Cambria Math"/>
          <w:color w:val="000000" w:themeColor="text1"/>
          <w:sz w:val="20"/>
        </w:rPr>
        <w:t xml:space="preserve"> </w:t>
      </w:r>
      <w:r>
        <w:rPr>
          <w:rFonts w:ascii="Cambria Math" w:eastAsia="Cambria Math" w:hAnsi="Cambria Math" w:cs="Cambria Math"/>
          <w:color w:val="000000" w:themeColor="text1"/>
          <w:sz w:val="28"/>
        </w:rPr>
        <w:t>×</w:t>
      </w:r>
    </w:p>
    <w:p w:rsidR="00A63CF9" w:rsidRDefault="007E7E15">
      <w:pPr>
        <w:spacing w:after="3" w:line="325" w:lineRule="auto"/>
        <w:ind w:left="2943" w:hanging="2408"/>
        <w:rPr>
          <w:rFonts w:ascii="Cambria Math" w:eastAsia="Cambria Math" w:hAnsi="Cambria Math" w:cs="Cambria Math"/>
          <w:color w:val="000000" w:themeColor="text1"/>
          <w:sz w:val="28"/>
        </w:rPr>
      </w:pPr>
      <w:r>
        <w:rPr>
          <w:rFonts w:ascii="Cambria Math" w:eastAsia="Cambria Math" w:hAnsi="Cambria Math" w:cs="Cambria Math"/>
          <w:color w:val="000000" w:themeColor="text1"/>
          <w:sz w:val="28"/>
        </w:rPr>
        <w:t xml:space="preserve">× </w:t>
      </w:r>
      <w:proofErr w:type="spellStart"/>
      <w:r>
        <w:rPr>
          <w:rFonts w:ascii="Cambria Math" w:eastAsia="Cambria Math" w:hAnsi="Cambria Math" w:cs="Cambria Math"/>
          <w:color w:val="000000" w:themeColor="text1"/>
          <w:sz w:val="28"/>
        </w:rPr>
        <w:t>Нфз</w:t>
      </w:r>
      <w:r>
        <w:rPr>
          <w:rFonts w:ascii="Cambria Math" w:eastAsia="Cambria Math" w:hAnsi="Cambria Math" w:cs="Cambria Math"/>
          <w:color w:val="000000" w:themeColor="text1"/>
          <w:sz w:val="20"/>
        </w:rPr>
        <w:t>ШКОЛ</w:t>
      </w:r>
      <w:proofErr w:type="spellEnd"/>
      <w:r>
        <w:rPr>
          <w:rFonts w:ascii="Cambria Math" w:eastAsia="Cambria Math" w:hAnsi="Cambria Math" w:cs="Cambria Math"/>
          <w:color w:val="000000" w:themeColor="text1"/>
          <w:sz w:val="20"/>
        </w:rPr>
        <w:t xml:space="preserve"> </w:t>
      </w:r>
      <w:r>
        <w:rPr>
          <w:rFonts w:ascii="Cambria Math" w:eastAsia="Cambria Math" w:hAnsi="Cambria Math" w:cs="Cambria Math"/>
          <w:color w:val="000000" w:themeColor="text1"/>
          <w:sz w:val="28"/>
        </w:rPr>
        <w:t xml:space="preserve">+ </w:t>
      </w:r>
      <w:proofErr w:type="spellStart"/>
      <w:r>
        <w:rPr>
          <w:rFonts w:ascii="Cambria Math" w:eastAsia="Cambria Math" w:hAnsi="Cambria Math" w:cs="Cambria Math"/>
          <w:color w:val="000000" w:themeColor="text1"/>
          <w:sz w:val="28"/>
        </w:rPr>
        <w:t>Но</w:t>
      </w:r>
      <w:r>
        <w:rPr>
          <w:rFonts w:ascii="Cambria Math" w:eastAsia="Cambria Math" w:hAnsi="Cambria Math" w:cs="Cambria Math"/>
          <w:color w:val="000000" w:themeColor="text1"/>
          <w:sz w:val="20"/>
        </w:rPr>
        <w:t>НЕОТЛ</w:t>
      </w:r>
      <w:proofErr w:type="spellEnd"/>
      <w:r>
        <w:rPr>
          <w:rFonts w:ascii="Cambria Math" w:eastAsia="Cambria Math" w:hAnsi="Cambria Math" w:cs="Cambria Math"/>
          <w:color w:val="000000" w:themeColor="text1"/>
          <w:sz w:val="20"/>
        </w:rPr>
        <w:t xml:space="preserve"> </w:t>
      </w:r>
      <w:r>
        <w:rPr>
          <w:rFonts w:ascii="Cambria Math" w:eastAsia="Cambria Math" w:hAnsi="Cambria Math" w:cs="Cambria Math"/>
          <w:color w:val="000000" w:themeColor="text1"/>
          <w:sz w:val="28"/>
        </w:rPr>
        <w:t xml:space="preserve">× </w:t>
      </w:r>
      <w:proofErr w:type="spellStart"/>
      <w:r>
        <w:rPr>
          <w:rFonts w:ascii="Cambria Math" w:eastAsia="Cambria Math" w:hAnsi="Cambria Math" w:cs="Cambria Math"/>
          <w:color w:val="000000" w:themeColor="text1"/>
          <w:sz w:val="28"/>
        </w:rPr>
        <w:t>Нфз</w:t>
      </w:r>
      <w:r>
        <w:rPr>
          <w:rFonts w:ascii="Cambria Math" w:eastAsia="Cambria Math" w:hAnsi="Cambria Math" w:cs="Cambria Math"/>
          <w:color w:val="000000" w:themeColor="text1"/>
          <w:sz w:val="20"/>
        </w:rPr>
        <w:t>НЕОТЛ</w:t>
      </w:r>
      <w:proofErr w:type="spellEnd"/>
      <w:r>
        <w:rPr>
          <w:rFonts w:ascii="Cambria Math" w:eastAsia="Cambria Math" w:hAnsi="Cambria Math" w:cs="Cambria Math"/>
          <w:color w:val="000000" w:themeColor="text1"/>
          <w:sz w:val="20"/>
        </w:rPr>
        <w:t xml:space="preserve"> </w:t>
      </w:r>
      <w:r>
        <w:rPr>
          <w:rFonts w:ascii="Cambria Math" w:eastAsia="Cambria Math" w:hAnsi="Cambria Math" w:cs="Cambria Math"/>
          <w:color w:val="000000" w:themeColor="text1"/>
          <w:sz w:val="28"/>
        </w:rPr>
        <w:t xml:space="preserve">+ </w:t>
      </w:r>
      <w:proofErr w:type="spellStart"/>
      <w:r>
        <w:rPr>
          <w:rFonts w:ascii="Cambria Math" w:eastAsia="Cambria Math" w:hAnsi="Cambria Math" w:cs="Cambria Math"/>
          <w:color w:val="000000" w:themeColor="text1"/>
          <w:sz w:val="28"/>
        </w:rPr>
        <w:t>Но</w:t>
      </w:r>
      <w:r>
        <w:rPr>
          <w:rFonts w:ascii="Cambria Math" w:eastAsia="Cambria Math" w:hAnsi="Cambria Math" w:cs="Cambria Math"/>
          <w:color w:val="000000" w:themeColor="text1"/>
          <w:sz w:val="20"/>
        </w:rPr>
        <w:t>МР</w:t>
      </w:r>
      <w:proofErr w:type="spellEnd"/>
      <w:r>
        <w:rPr>
          <w:rFonts w:ascii="Cambria Math" w:eastAsia="Cambria Math" w:hAnsi="Cambria Math" w:cs="Cambria Math"/>
          <w:color w:val="000000" w:themeColor="text1"/>
          <w:sz w:val="20"/>
        </w:rPr>
        <w:t xml:space="preserve"> </w:t>
      </w:r>
      <w:r>
        <w:rPr>
          <w:rFonts w:ascii="Cambria Math" w:eastAsia="Cambria Math" w:hAnsi="Cambria Math" w:cs="Cambria Math"/>
          <w:color w:val="000000" w:themeColor="text1"/>
          <w:sz w:val="28"/>
        </w:rPr>
        <w:t xml:space="preserve">× </w:t>
      </w:r>
      <w:proofErr w:type="spellStart"/>
      <w:r>
        <w:rPr>
          <w:rFonts w:ascii="Cambria Math" w:eastAsia="Cambria Math" w:hAnsi="Cambria Math" w:cs="Cambria Math"/>
          <w:color w:val="000000" w:themeColor="text1"/>
          <w:sz w:val="28"/>
        </w:rPr>
        <w:t>Нфз</w:t>
      </w:r>
      <w:r>
        <w:rPr>
          <w:rFonts w:ascii="Cambria Math" w:eastAsia="Cambria Math" w:hAnsi="Cambria Math" w:cs="Cambria Math"/>
          <w:color w:val="000000" w:themeColor="text1"/>
          <w:sz w:val="20"/>
        </w:rPr>
        <w:t>МР</w:t>
      </w:r>
      <w:proofErr w:type="spellEnd"/>
      <w:r>
        <w:rPr>
          <w:rFonts w:ascii="Cambria Math" w:eastAsia="Cambria Math" w:hAnsi="Cambria Math" w:cs="Cambria Math"/>
          <w:color w:val="000000" w:themeColor="text1"/>
          <w:sz w:val="20"/>
        </w:rPr>
        <w:t xml:space="preserve"> </w:t>
      </w:r>
      <w:r>
        <w:rPr>
          <w:rFonts w:ascii="Cambria Math" w:eastAsia="Cambria Math" w:hAnsi="Cambria Math" w:cs="Cambria Math"/>
          <w:color w:val="000000" w:themeColor="text1"/>
          <w:sz w:val="28"/>
        </w:rPr>
        <w:t xml:space="preserve">+ </w:t>
      </w:r>
      <w:proofErr w:type="spellStart"/>
      <w:r>
        <w:rPr>
          <w:rFonts w:ascii="Cambria Math" w:eastAsia="Cambria Math" w:hAnsi="Cambria Math" w:cs="Cambria Math"/>
          <w:color w:val="000000" w:themeColor="text1"/>
          <w:sz w:val="28"/>
        </w:rPr>
        <w:t>Но</w:t>
      </w:r>
      <w:r>
        <w:rPr>
          <w:rFonts w:ascii="Cambria Math" w:eastAsia="Cambria Math" w:hAnsi="Cambria Math" w:cs="Cambria Math"/>
          <w:color w:val="000000" w:themeColor="text1"/>
          <w:sz w:val="20"/>
        </w:rPr>
        <w:t>ДН</w:t>
      </w:r>
      <w:proofErr w:type="spellEnd"/>
      <w:r>
        <w:rPr>
          <w:rFonts w:ascii="Cambria Math" w:eastAsia="Cambria Math" w:hAnsi="Cambria Math" w:cs="Cambria Math"/>
          <w:color w:val="000000" w:themeColor="text1"/>
          <w:sz w:val="20"/>
        </w:rPr>
        <w:t xml:space="preserve"> </w:t>
      </w:r>
      <w:r>
        <w:rPr>
          <w:rFonts w:ascii="Cambria Math" w:eastAsia="Cambria Math" w:hAnsi="Cambria Math" w:cs="Cambria Math"/>
          <w:color w:val="000000" w:themeColor="text1"/>
          <w:sz w:val="28"/>
        </w:rPr>
        <w:t xml:space="preserve">× </w:t>
      </w:r>
      <w:proofErr w:type="spellStart"/>
      <w:r>
        <w:rPr>
          <w:rFonts w:ascii="Cambria Math" w:eastAsia="Cambria Math" w:hAnsi="Cambria Math" w:cs="Cambria Math"/>
          <w:color w:val="000000" w:themeColor="text1"/>
          <w:sz w:val="28"/>
        </w:rPr>
        <w:t>Нфз</w:t>
      </w:r>
      <w:r>
        <w:rPr>
          <w:rFonts w:ascii="Cambria Math" w:eastAsia="Cambria Math" w:hAnsi="Cambria Math" w:cs="Cambria Math"/>
          <w:color w:val="000000" w:themeColor="text1"/>
          <w:sz w:val="20"/>
        </w:rPr>
        <w:t>ДН</w:t>
      </w:r>
      <w:proofErr w:type="spellEnd"/>
      <w:r>
        <w:rPr>
          <w:rFonts w:ascii="Cambria Math" w:eastAsia="Cambria Math" w:hAnsi="Cambria Math" w:cs="Cambria Math"/>
          <w:color w:val="000000" w:themeColor="text1"/>
          <w:sz w:val="20"/>
        </w:rPr>
        <w:t xml:space="preserve"> </w:t>
      </w:r>
      <w:r>
        <w:rPr>
          <w:rFonts w:ascii="Cambria Math" w:eastAsia="Cambria Math" w:hAnsi="Cambria Math" w:cs="Cambria Math"/>
          <w:color w:val="000000" w:themeColor="text1"/>
          <w:sz w:val="28"/>
        </w:rPr>
        <w:t xml:space="preserve">+ </w:t>
      </w:r>
    </w:p>
    <w:p w:rsidR="00A63CF9" w:rsidRDefault="007E7E15">
      <w:pPr>
        <w:spacing w:after="3" w:line="325" w:lineRule="auto"/>
        <w:ind w:left="2943" w:hanging="2408"/>
        <w:rPr>
          <w:color w:val="000000" w:themeColor="text1"/>
          <w:sz w:val="28"/>
        </w:rPr>
      </w:pPr>
      <w:r>
        <w:rPr>
          <w:rFonts w:ascii="Cambria Math" w:eastAsia="Cambria Math" w:hAnsi="Cambria Math" w:cs="Cambria Math"/>
          <w:color w:val="000000" w:themeColor="text1"/>
          <w:sz w:val="28"/>
        </w:rPr>
        <w:t>+</w:t>
      </w:r>
      <w:proofErr w:type="spellStart"/>
      <w:r>
        <w:rPr>
          <w:rFonts w:ascii="Cambria Math" w:eastAsia="Cambria Math" w:hAnsi="Cambria Math" w:cs="Cambria Math"/>
          <w:color w:val="000000" w:themeColor="text1"/>
          <w:sz w:val="28"/>
        </w:rPr>
        <w:t>Но</w:t>
      </w:r>
      <w:r>
        <w:rPr>
          <w:rFonts w:ascii="Cambria Math" w:eastAsia="Cambria Math" w:hAnsi="Cambria Math" w:cs="Cambria Math"/>
          <w:color w:val="000000" w:themeColor="text1"/>
          <w:sz w:val="28"/>
          <w:vertAlign w:val="subscript"/>
        </w:rPr>
        <w:t>ЦЗ</w:t>
      </w:r>
      <w:proofErr w:type="spellEnd"/>
      <w:r>
        <w:rPr>
          <w:rFonts w:ascii="Cambria Math" w:eastAsia="Cambria Math" w:hAnsi="Cambria Math" w:cs="Cambria Math"/>
          <w:color w:val="000000" w:themeColor="text1"/>
          <w:sz w:val="28"/>
          <w:vertAlign w:val="subscript"/>
        </w:rPr>
        <w:t xml:space="preserve"> </w:t>
      </w:r>
      <w:r>
        <w:rPr>
          <w:rFonts w:ascii="Cambria Math" w:eastAsia="Cambria Math" w:hAnsi="Cambria Math" w:cs="Cambria Math"/>
          <w:color w:val="000000" w:themeColor="text1"/>
          <w:sz w:val="28"/>
        </w:rPr>
        <w:t xml:space="preserve">× </w:t>
      </w:r>
      <w:proofErr w:type="spellStart"/>
      <w:r>
        <w:rPr>
          <w:rFonts w:ascii="Cambria Math" w:eastAsia="Cambria Math" w:hAnsi="Cambria Math" w:cs="Cambria Math"/>
          <w:color w:val="000000" w:themeColor="text1"/>
          <w:sz w:val="28"/>
        </w:rPr>
        <w:t>Нфз</w:t>
      </w:r>
      <w:r>
        <w:rPr>
          <w:rFonts w:ascii="Cambria Math" w:eastAsia="Cambria Math" w:hAnsi="Cambria Math" w:cs="Cambria Math"/>
          <w:color w:val="000000" w:themeColor="text1"/>
          <w:sz w:val="28"/>
          <w:vertAlign w:val="subscript"/>
        </w:rPr>
        <w:t>ЦЗ</w:t>
      </w:r>
      <w:proofErr w:type="spellEnd"/>
      <w:r>
        <w:rPr>
          <w:rFonts w:ascii="Cambria Math" w:eastAsia="Cambria Math" w:hAnsi="Cambria Math" w:cs="Cambria Math"/>
          <w:color w:val="000000" w:themeColor="text1"/>
          <w:sz w:val="28"/>
        </w:rPr>
        <w:t>) × Ч</w:t>
      </w:r>
      <w:r>
        <w:rPr>
          <w:rFonts w:ascii="Cambria Math" w:eastAsia="Cambria Math" w:hAnsi="Cambria Math" w:cs="Cambria Math"/>
          <w:color w:val="000000" w:themeColor="text1"/>
          <w:sz w:val="28"/>
          <w:vertAlign w:val="subscript"/>
        </w:rPr>
        <w:t xml:space="preserve">З </w:t>
      </w:r>
      <w:r>
        <w:rPr>
          <w:rFonts w:ascii="Cambria Math" w:eastAsia="Cambria Math" w:hAnsi="Cambria Math" w:cs="Cambria Math"/>
          <w:color w:val="000000" w:themeColor="text1"/>
          <w:sz w:val="28"/>
        </w:rPr>
        <w:t>− ОС</w:t>
      </w:r>
      <w:r>
        <w:rPr>
          <w:rFonts w:ascii="Cambria Math" w:eastAsia="Cambria Math" w:hAnsi="Cambria Math" w:cs="Cambria Math"/>
          <w:color w:val="000000" w:themeColor="text1"/>
          <w:sz w:val="28"/>
          <w:vertAlign w:val="subscript"/>
        </w:rPr>
        <w:t>МТР</w:t>
      </w:r>
      <w:r>
        <w:rPr>
          <w:color w:val="000000" w:themeColor="text1"/>
          <w:sz w:val="28"/>
        </w:rPr>
        <w:t xml:space="preserve">,  </w:t>
      </w:r>
    </w:p>
    <w:p w:rsidR="00A63CF9" w:rsidRDefault="007E7E15">
      <w:pPr>
        <w:spacing w:after="5" w:line="249" w:lineRule="auto"/>
        <w:ind w:left="160" w:right="64"/>
        <w:jc w:val="both"/>
        <w:rPr>
          <w:color w:val="000000" w:themeColor="text1"/>
          <w:sz w:val="28"/>
        </w:rPr>
      </w:pPr>
      <w:r>
        <w:rPr>
          <w:color w:val="000000" w:themeColor="text1"/>
          <w:sz w:val="28"/>
        </w:rPr>
        <w:t xml:space="preserve">где: </w:t>
      </w:r>
    </w:p>
    <w:tbl>
      <w:tblPr>
        <w:tblStyle w:val="TableGrid"/>
        <w:tblW w:w="8753" w:type="dxa"/>
        <w:tblInd w:w="502" w:type="dxa"/>
        <w:tblLook w:val="04A0" w:firstRow="1" w:lastRow="0" w:firstColumn="1" w:lastColumn="0" w:noHBand="0" w:noVBand="1"/>
      </w:tblPr>
      <w:tblGrid>
        <w:gridCol w:w="1323"/>
        <w:gridCol w:w="7430"/>
      </w:tblGrid>
      <w:tr w:rsidR="00A63CF9">
        <w:trPr>
          <w:trHeight w:val="1706"/>
        </w:trPr>
        <w:tc>
          <w:tcPr>
            <w:tcW w:w="1323" w:type="dxa"/>
            <w:tcBorders>
              <w:top w:val="nil"/>
              <w:left w:val="nil"/>
              <w:bottom w:val="nil"/>
              <w:right w:val="nil"/>
            </w:tcBorders>
          </w:tcPr>
          <w:p w:rsidR="00A63CF9" w:rsidRDefault="007E7E15">
            <w:pPr>
              <w:ind w:left="77"/>
              <w:rPr>
                <w:color w:val="000000" w:themeColor="text1"/>
                <w:sz w:val="28"/>
              </w:rPr>
            </w:pPr>
            <w:proofErr w:type="spellStart"/>
            <w:r>
              <w:rPr>
                <w:rFonts w:ascii="Cambria Math" w:eastAsia="Cambria Math" w:hAnsi="Cambria Math" w:cs="Cambria Math"/>
                <w:color w:val="000000" w:themeColor="text1"/>
                <w:sz w:val="28"/>
              </w:rPr>
              <w:t>Но</w:t>
            </w:r>
            <w:r>
              <w:rPr>
                <w:rFonts w:ascii="Cambria Math" w:eastAsia="Cambria Math" w:hAnsi="Cambria Math" w:cs="Cambria Math"/>
                <w:color w:val="000000" w:themeColor="text1"/>
                <w:sz w:val="28"/>
                <w:vertAlign w:val="subscript"/>
              </w:rPr>
              <w:t>ПМО</w:t>
            </w:r>
            <w:proofErr w:type="spellEnd"/>
            <w:r>
              <w:rPr>
                <w:color w:val="000000" w:themeColor="text1"/>
                <w:sz w:val="28"/>
              </w:rPr>
              <w:t xml:space="preserve"> </w:t>
            </w:r>
          </w:p>
        </w:tc>
        <w:tc>
          <w:tcPr>
            <w:tcW w:w="7430" w:type="dxa"/>
            <w:tcBorders>
              <w:top w:val="nil"/>
              <w:left w:val="nil"/>
              <w:bottom w:val="nil"/>
              <w:right w:val="nil"/>
            </w:tcBorders>
          </w:tcPr>
          <w:p w:rsidR="00A63CF9" w:rsidRDefault="007E7E15">
            <w:pPr>
              <w:ind w:right="74"/>
              <w:jc w:val="both"/>
              <w:rPr>
                <w:color w:val="000000" w:themeColor="text1"/>
                <w:sz w:val="28"/>
              </w:rPr>
            </w:pPr>
            <w:r>
              <w:rPr>
                <w:color w:val="000000" w:themeColor="text1"/>
                <w:sz w:val="28"/>
              </w:rPr>
              <w:t xml:space="preserve">средний норматив объема медицинской помощи, оказываемой в амбулаторных условиях, для проведения профилактических медицинских осмотров, установленный Территориальной программой государственных гарантий в части базовой программы, комплексных посещений; </w:t>
            </w:r>
          </w:p>
        </w:tc>
      </w:tr>
      <w:tr w:rsidR="00A63CF9">
        <w:trPr>
          <w:trHeight w:val="1814"/>
        </w:trPr>
        <w:tc>
          <w:tcPr>
            <w:tcW w:w="1323" w:type="dxa"/>
            <w:tcBorders>
              <w:top w:val="nil"/>
              <w:left w:val="nil"/>
              <w:bottom w:val="nil"/>
              <w:right w:val="nil"/>
            </w:tcBorders>
          </w:tcPr>
          <w:p w:rsidR="00A63CF9" w:rsidRDefault="007E7E15">
            <w:pPr>
              <w:ind w:left="34"/>
              <w:rPr>
                <w:color w:val="000000" w:themeColor="text1"/>
                <w:sz w:val="28"/>
              </w:rPr>
            </w:pPr>
            <w:proofErr w:type="spellStart"/>
            <w:r>
              <w:rPr>
                <w:rFonts w:ascii="Cambria Math" w:eastAsia="Cambria Math" w:hAnsi="Cambria Math" w:cs="Cambria Math"/>
                <w:color w:val="000000" w:themeColor="text1"/>
                <w:sz w:val="28"/>
              </w:rPr>
              <w:t>Но</w:t>
            </w:r>
            <w:r>
              <w:rPr>
                <w:rFonts w:ascii="Cambria Math" w:eastAsia="Cambria Math" w:hAnsi="Cambria Math" w:cs="Cambria Math"/>
                <w:color w:val="000000" w:themeColor="text1"/>
                <w:sz w:val="20"/>
              </w:rPr>
              <w:t>ДИСП</w:t>
            </w:r>
            <w:proofErr w:type="spellEnd"/>
            <w:r>
              <w:rPr>
                <w:color w:val="000000" w:themeColor="text1"/>
                <w:sz w:val="28"/>
              </w:rPr>
              <w:t xml:space="preserve"> </w:t>
            </w:r>
          </w:p>
        </w:tc>
        <w:tc>
          <w:tcPr>
            <w:tcW w:w="7430" w:type="dxa"/>
            <w:tcBorders>
              <w:top w:val="nil"/>
              <w:left w:val="nil"/>
              <w:bottom w:val="nil"/>
              <w:right w:val="nil"/>
            </w:tcBorders>
            <w:vAlign w:val="center"/>
          </w:tcPr>
          <w:p w:rsidR="00A63CF9" w:rsidRDefault="007E7E15">
            <w:pPr>
              <w:ind w:right="74"/>
              <w:jc w:val="both"/>
              <w:rPr>
                <w:color w:val="000000" w:themeColor="text1"/>
                <w:sz w:val="28"/>
              </w:rPr>
            </w:pPr>
            <w:r>
              <w:rPr>
                <w:color w:val="000000" w:themeColor="text1"/>
                <w:sz w:val="28"/>
              </w:rPr>
              <w:t xml:space="preserve">средний норматив объема медицинской помощи, оказываемой в амбулаторных условиях, для проведения диспансеризации, установленный Территориальной программой государственных гарантий в части базовой программы, комплексных посещений; </w:t>
            </w:r>
          </w:p>
        </w:tc>
      </w:tr>
      <w:tr w:rsidR="00A63CF9">
        <w:trPr>
          <w:trHeight w:val="2136"/>
        </w:trPr>
        <w:tc>
          <w:tcPr>
            <w:tcW w:w="1323" w:type="dxa"/>
            <w:tcBorders>
              <w:top w:val="nil"/>
              <w:left w:val="nil"/>
              <w:bottom w:val="nil"/>
              <w:right w:val="nil"/>
            </w:tcBorders>
          </w:tcPr>
          <w:p w:rsidR="00A63CF9" w:rsidRDefault="007E7E15">
            <w:pPr>
              <w:ind w:left="53"/>
              <w:rPr>
                <w:color w:val="000000" w:themeColor="text1"/>
                <w:sz w:val="28"/>
              </w:rPr>
            </w:pPr>
            <w:proofErr w:type="spellStart"/>
            <w:r>
              <w:rPr>
                <w:rFonts w:ascii="Cambria Math" w:eastAsia="Cambria Math" w:hAnsi="Cambria Math" w:cs="Cambria Math"/>
                <w:color w:val="000000" w:themeColor="text1"/>
                <w:sz w:val="28"/>
              </w:rPr>
              <w:t>Но</w:t>
            </w:r>
            <w:r>
              <w:rPr>
                <w:rFonts w:ascii="Cambria Math" w:eastAsia="Cambria Math" w:hAnsi="Cambria Math" w:cs="Cambria Math"/>
                <w:color w:val="000000" w:themeColor="text1"/>
                <w:sz w:val="20"/>
              </w:rPr>
              <w:t>РЕПР</w:t>
            </w:r>
            <w:proofErr w:type="spellEnd"/>
            <w:r>
              <w:rPr>
                <w:rFonts w:ascii="Calibri" w:eastAsia="Calibri" w:hAnsi="Calibri" w:cs="Calibri"/>
                <w:color w:val="000000" w:themeColor="text1"/>
                <w:sz w:val="28"/>
              </w:rPr>
              <w:t xml:space="preserve"> </w:t>
            </w:r>
          </w:p>
        </w:tc>
        <w:tc>
          <w:tcPr>
            <w:tcW w:w="7430" w:type="dxa"/>
            <w:tcBorders>
              <w:top w:val="nil"/>
              <w:left w:val="nil"/>
              <w:bottom w:val="nil"/>
              <w:right w:val="nil"/>
            </w:tcBorders>
            <w:vAlign w:val="center"/>
          </w:tcPr>
          <w:p w:rsidR="00A63CF9" w:rsidRDefault="007E7E15">
            <w:pPr>
              <w:ind w:right="74"/>
              <w:jc w:val="both"/>
              <w:rPr>
                <w:color w:val="000000" w:themeColor="text1"/>
                <w:sz w:val="28"/>
              </w:rPr>
            </w:pPr>
            <w:r>
              <w:rPr>
                <w:color w:val="000000" w:themeColor="text1"/>
                <w:sz w:val="28"/>
              </w:rPr>
              <w:t xml:space="preserve">средний норматив объема медицинской помощи, оказываемой в амбулаторных условиях, для проведения диспансеризации репродуктивного здоровья женщин и мужчин, установленный Территориальной программой государственных гарантий в части базовой программы, комплексных посещений; </w:t>
            </w:r>
          </w:p>
        </w:tc>
      </w:tr>
      <w:tr w:rsidR="00A63CF9">
        <w:trPr>
          <w:trHeight w:val="1815"/>
        </w:trPr>
        <w:tc>
          <w:tcPr>
            <w:tcW w:w="1323" w:type="dxa"/>
            <w:tcBorders>
              <w:top w:val="nil"/>
              <w:left w:val="nil"/>
              <w:bottom w:val="nil"/>
              <w:right w:val="nil"/>
            </w:tcBorders>
          </w:tcPr>
          <w:p w:rsidR="00A63CF9" w:rsidRDefault="007E7E15">
            <w:pPr>
              <w:ind w:left="156"/>
              <w:rPr>
                <w:color w:val="000000" w:themeColor="text1"/>
                <w:sz w:val="28"/>
              </w:rPr>
            </w:pPr>
            <w:proofErr w:type="spellStart"/>
            <w:r>
              <w:rPr>
                <w:rFonts w:ascii="Cambria Math" w:eastAsia="Cambria Math" w:hAnsi="Cambria Math" w:cs="Cambria Math"/>
                <w:color w:val="000000" w:themeColor="text1"/>
                <w:sz w:val="28"/>
              </w:rPr>
              <w:t>Но</w:t>
            </w:r>
            <w:r>
              <w:rPr>
                <w:rFonts w:ascii="Cambria Math" w:eastAsia="Cambria Math" w:hAnsi="Cambria Math" w:cs="Cambria Math"/>
                <w:color w:val="000000" w:themeColor="text1"/>
                <w:sz w:val="28"/>
                <w:vertAlign w:val="subscript"/>
              </w:rPr>
              <w:t>ИЦ</w:t>
            </w:r>
            <w:proofErr w:type="spellEnd"/>
            <w:r>
              <w:rPr>
                <w:color w:val="000000" w:themeColor="text1"/>
                <w:sz w:val="28"/>
              </w:rPr>
              <w:t xml:space="preserve"> </w:t>
            </w:r>
          </w:p>
        </w:tc>
        <w:tc>
          <w:tcPr>
            <w:tcW w:w="7430" w:type="dxa"/>
            <w:tcBorders>
              <w:top w:val="nil"/>
              <w:left w:val="nil"/>
              <w:bottom w:val="nil"/>
              <w:right w:val="nil"/>
            </w:tcBorders>
            <w:vAlign w:val="center"/>
          </w:tcPr>
          <w:p w:rsidR="00A63CF9" w:rsidRDefault="007E7E15">
            <w:pPr>
              <w:ind w:right="68"/>
              <w:jc w:val="both"/>
              <w:rPr>
                <w:color w:val="000000" w:themeColor="text1"/>
                <w:sz w:val="28"/>
              </w:rPr>
            </w:pPr>
            <w:r>
              <w:rPr>
                <w:color w:val="000000" w:themeColor="text1"/>
                <w:sz w:val="28"/>
              </w:rPr>
              <w:t xml:space="preserve">средний норматив объема медицинской помощи, оказываемой в амбулаторных условиях, для посещений с иными целями, установленный Территориальной программой государственных гарантий в части базовой программы, посещений; </w:t>
            </w:r>
          </w:p>
        </w:tc>
      </w:tr>
      <w:tr w:rsidR="00A63CF9">
        <w:trPr>
          <w:trHeight w:val="1815"/>
        </w:trPr>
        <w:tc>
          <w:tcPr>
            <w:tcW w:w="1323" w:type="dxa"/>
            <w:tcBorders>
              <w:top w:val="nil"/>
              <w:left w:val="nil"/>
              <w:bottom w:val="nil"/>
              <w:right w:val="nil"/>
            </w:tcBorders>
          </w:tcPr>
          <w:p w:rsidR="00A63CF9" w:rsidRDefault="007E7E15">
            <w:pPr>
              <w:ind w:left="173"/>
              <w:rPr>
                <w:color w:val="000000" w:themeColor="text1"/>
                <w:sz w:val="28"/>
              </w:rPr>
            </w:pPr>
            <w:proofErr w:type="spellStart"/>
            <w:r>
              <w:rPr>
                <w:rFonts w:ascii="Cambria Math" w:eastAsia="Cambria Math" w:hAnsi="Cambria Math" w:cs="Cambria Math"/>
                <w:color w:val="000000" w:themeColor="text1"/>
                <w:sz w:val="28"/>
              </w:rPr>
              <w:t>Но</w:t>
            </w:r>
            <w:r>
              <w:rPr>
                <w:rFonts w:ascii="Cambria Math" w:eastAsia="Cambria Math" w:hAnsi="Cambria Math" w:cs="Cambria Math"/>
                <w:color w:val="000000" w:themeColor="text1"/>
                <w:sz w:val="28"/>
                <w:vertAlign w:val="subscript"/>
              </w:rPr>
              <w:t>ОЗ</w:t>
            </w:r>
            <w:proofErr w:type="spellEnd"/>
            <w:r>
              <w:rPr>
                <w:color w:val="000000" w:themeColor="text1"/>
                <w:sz w:val="28"/>
              </w:rPr>
              <w:t xml:space="preserve"> </w:t>
            </w:r>
          </w:p>
        </w:tc>
        <w:tc>
          <w:tcPr>
            <w:tcW w:w="7430" w:type="dxa"/>
            <w:tcBorders>
              <w:top w:val="nil"/>
              <w:left w:val="nil"/>
              <w:bottom w:val="nil"/>
              <w:right w:val="nil"/>
            </w:tcBorders>
            <w:vAlign w:val="center"/>
          </w:tcPr>
          <w:p w:rsidR="00A63CF9" w:rsidRDefault="007E7E15">
            <w:pPr>
              <w:ind w:right="71"/>
              <w:jc w:val="both"/>
              <w:rPr>
                <w:color w:val="000000" w:themeColor="text1"/>
                <w:sz w:val="28"/>
              </w:rPr>
            </w:pPr>
            <w:r>
              <w:rPr>
                <w:color w:val="000000" w:themeColor="text1"/>
                <w:sz w:val="28"/>
              </w:rPr>
              <w:t xml:space="preserve">средний норматив объема медицинской помощи, оказываемой в амбулаторных условиях в связи с заболеваниями, установленный Территориальной программой государственных гарантий в части базовой программы, обращений; </w:t>
            </w:r>
          </w:p>
        </w:tc>
      </w:tr>
      <w:tr w:rsidR="00A63CF9">
        <w:trPr>
          <w:trHeight w:val="2136"/>
        </w:trPr>
        <w:tc>
          <w:tcPr>
            <w:tcW w:w="1323" w:type="dxa"/>
            <w:tcBorders>
              <w:top w:val="nil"/>
              <w:left w:val="nil"/>
              <w:bottom w:val="nil"/>
              <w:right w:val="nil"/>
            </w:tcBorders>
          </w:tcPr>
          <w:p w:rsidR="00A63CF9" w:rsidRDefault="007E7E15">
            <w:pPr>
              <w:ind w:left="5"/>
              <w:rPr>
                <w:color w:val="000000" w:themeColor="text1"/>
                <w:sz w:val="28"/>
              </w:rPr>
            </w:pPr>
            <w:proofErr w:type="spellStart"/>
            <w:r>
              <w:rPr>
                <w:rFonts w:ascii="Cambria Math" w:eastAsia="Cambria Math" w:hAnsi="Cambria Math" w:cs="Cambria Math"/>
                <w:color w:val="000000" w:themeColor="text1"/>
                <w:sz w:val="28"/>
              </w:rPr>
              <w:t>Но</w:t>
            </w:r>
            <w:r>
              <w:rPr>
                <w:rFonts w:ascii="Cambria Math" w:eastAsia="Cambria Math" w:hAnsi="Cambria Math" w:cs="Cambria Math"/>
                <w:color w:val="000000" w:themeColor="text1"/>
                <w:sz w:val="20"/>
              </w:rPr>
              <w:t>Д</w:t>
            </w:r>
            <w:proofErr w:type="spellEnd"/>
            <w:r>
              <w:rPr>
                <w:rFonts w:ascii="Cambria Math" w:eastAsia="Cambria Math" w:hAnsi="Cambria Math" w:cs="Cambria Math"/>
                <w:color w:val="000000" w:themeColor="text1"/>
                <w:sz w:val="20"/>
              </w:rPr>
              <w:t>(Л)И</w:t>
            </w:r>
            <w:r>
              <w:rPr>
                <w:rFonts w:ascii="Calibri" w:eastAsia="Calibri" w:hAnsi="Calibri" w:cs="Calibri"/>
                <w:color w:val="000000" w:themeColor="text1"/>
                <w:sz w:val="28"/>
              </w:rPr>
              <w:t xml:space="preserve"> </w:t>
            </w:r>
          </w:p>
        </w:tc>
        <w:tc>
          <w:tcPr>
            <w:tcW w:w="7430" w:type="dxa"/>
            <w:tcBorders>
              <w:top w:val="nil"/>
              <w:left w:val="nil"/>
              <w:bottom w:val="nil"/>
              <w:right w:val="nil"/>
            </w:tcBorders>
            <w:vAlign w:val="center"/>
          </w:tcPr>
          <w:p w:rsidR="00A63CF9" w:rsidRDefault="007E7E15">
            <w:pPr>
              <w:ind w:right="67"/>
              <w:jc w:val="both"/>
              <w:rPr>
                <w:color w:val="000000" w:themeColor="text1"/>
                <w:sz w:val="28"/>
              </w:rPr>
            </w:pPr>
            <w:r>
              <w:rPr>
                <w:color w:val="000000" w:themeColor="text1"/>
                <w:sz w:val="28"/>
              </w:rPr>
              <w:t xml:space="preserve">средний норматив объема медицинской помощи, оказываемой в амбулаторных условиях, для проведения отдельных диагностических (лабораторных) исследований, установленный Территориальной программой государственных гарантий в части базовой программы, исследований; </w:t>
            </w:r>
          </w:p>
        </w:tc>
      </w:tr>
      <w:tr w:rsidR="00A63CF9">
        <w:trPr>
          <w:trHeight w:val="1383"/>
        </w:trPr>
        <w:tc>
          <w:tcPr>
            <w:tcW w:w="1323" w:type="dxa"/>
            <w:tcBorders>
              <w:top w:val="nil"/>
              <w:left w:val="nil"/>
              <w:bottom w:val="nil"/>
              <w:right w:val="nil"/>
            </w:tcBorders>
          </w:tcPr>
          <w:p w:rsidR="00A63CF9" w:rsidRDefault="007E7E15">
            <w:pPr>
              <w:rPr>
                <w:color w:val="000000" w:themeColor="text1"/>
                <w:sz w:val="28"/>
              </w:rPr>
            </w:pPr>
            <w:proofErr w:type="spellStart"/>
            <w:r>
              <w:rPr>
                <w:rFonts w:ascii="Cambria Math" w:eastAsia="Cambria Math" w:hAnsi="Cambria Math" w:cs="Cambria Math"/>
                <w:color w:val="000000" w:themeColor="text1"/>
                <w:sz w:val="28"/>
              </w:rPr>
              <w:t>Но</w:t>
            </w:r>
            <w:r>
              <w:rPr>
                <w:rFonts w:ascii="Cambria Math" w:eastAsia="Cambria Math" w:hAnsi="Cambria Math" w:cs="Cambria Math"/>
                <w:color w:val="000000" w:themeColor="text1"/>
                <w:sz w:val="20"/>
              </w:rPr>
              <w:t>ШКОЛ</w:t>
            </w:r>
            <w:proofErr w:type="spellEnd"/>
            <w:r>
              <w:rPr>
                <w:rFonts w:ascii="Calibri" w:eastAsia="Calibri" w:hAnsi="Calibri" w:cs="Calibri"/>
                <w:color w:val="000000" w:themeColor="text1"/>
                <w:sz w:val="28"/>
              </w:rPr>
              <w:t xml:space="preserve"> </w:t>
            </w:r>
          </w:p>
        </w:tc>
        <w:tc>
          <w:tcPr>
            <w:tcW w:w="7430" w:type="dxa"/>
            <w:tcBorders>
              <w:top w:val="nil"/>
              <w:left w:val="nil"/>
              <w:bottom w:val="nil"/>
              <w:right w:val="nil"/>
            </w:tcBorders>
            <w:vAlign w:val="bottom"/>
          </w:tcPr>
          <w:p w:rsidR="00A63CF9" w:rsidRDefault="007E7E15">
            <w:pPr>
              <w:ind w:right="70"/>
              <w:jc w:val="both"/>
              <w:rPr>
                <w:color w:val="000000" w:themeColor="text1"/>
                <w:sz w:val="28"/>
              </w:rPr>
            </w:pPr>
            <w:r>
              <w:rPr>
                <w:color w:val="000000" w:themeColor="text1"/>
                <w:sz w:val="28"/>
              </w:rPr>
              <w:t xml:space="preserve">средний норматив объема медицинской помощи, оказываемой в амбулаторных условиях в школах для больных с хроническими заболеваниями, в том числе школах сахарного диабета, установленный Территориальной </w:t>
            </w:r>
          </w:p>
        </w:tc>
      </w:tr>
    </w:tbl>
    <w:p w:rsidR="00A63CF9" w:rsidRDefault="007E7E15">
      <w:pPr>
        <w:spacing w:after="5" w:line="249" w:lineRule="auto"/>
        <w:ind w:left="1825" w:right="64"/>
        <w:jc w:val="both"/>
        <w:rPr>
          <w:color w:val="000000" w:themeColor="text1"/>
          <w:sz w:val="28"/>
        </w:rPr>
      </w:pPr>
      <w:r>
        <w:rPr>
          <w:color w:val="000000" w:themeColor="text1"/>
          <w:sz w:val="28"/>
        </w:rPr>
        <w:t xml:space="preserve">программой государственных гарантий в части базовой программы, комплексных посещений; </w:t>
      </w:r>
    </w:p>
    <w:tbl>
      <w:tblPr>
        <w:tblStyle w:val="TableGrid"/>
        <w:tblW w:w="8806" w:type="dxa"/>
        <w:tblInd w:w="449" w:type="dxa"/>
        <w:tblLook w:val="04A0" w:firstRow="1" w:lastRow="0" w:firstColumn="1" w:lastColumn="0" w:noHBand="0" w:noVBand="1"/>
      </w:tblPr>
      <w:tblGrid>
        <w:gridCol w:w="1376"/>
        <w:gridCol w:w="7430"/>
      </w:tblGrid>
      <w:tr w:rsidR="00A63CF9">
        <w:trPr>
          <w:trHeight w:val="1707"/>
        </w:trPr>
        <w:tc>
          <w:tcPr>
            <w:tcW w:w="1376" w:type="dxa"/>
            <w:tcBorders>
              <w:top w:val="nil"/>
              <w:left w:val="nil"/>
              <w:bottom w:val="nil"/>
              <w:right w:val="nil"/>
            </w:tcBorders>
          </w:tcPr>
          <w:p w:rsidR="00A63CF9" w:rsidRDefault="007E7E15">
            <w:pPr>
              <w:ind w:left="26"/>
              <w:rPr>
                <w:color w:val="000000" w:themeColor="text1"/>
                <w:sz w:val="28"/>
              </w:rPr>
            </w:pPr>
            <w:proofErr w:type="spellStart"/>
            <w:r>
              <w:rPr>
                <w:rFonts w:ascii="Cambria Math" w:eastAsia="Cambria Math" w:hAnsi="Cambria Math" w:cs="Cambria Math"/>
                <w:color w:val="000000" w:themeColor="text1"/>
                <w:sz w:val="28"/>
              </w:rPr>
              <w:t>Но</w:t>
            </w:r>
            <w:r>
              <w:rPr>
                <w:rFonts w:ascii="Cambria Math" w:eastAsia="Cambria Math" w:hAnsi="Cambria Math" w:cs="Cambria Math"/>
                <w:color w:val="000000" w:themeColor="text1"/>
                <w:sz w:val="20"/>
              </w:rPr>
              <w:t>НЕОТЛ</w:t>
            </w:r>
            <w:proofErr w:type="spellEnd"/>
            <w:r>
              <w:rPr>
                <w:color w:val="000000" w:themeColor="text1"/>
                <w:sz w:val="28"/>
              </w:rPr>
              <w:t xml:space="preserve"> </w:t>
            </w:r>
          </w:p>
        </w:tc>
        <w:tc>
          <w:tcPr>
            <w:tcW w:w="7430" w:type="dxa"/>
            <w:tcBorders>
              <w:top w:val="nil"/>
              <w:left w:val="nil"/>
              <w:bottom w:val="nil"/>
              <w:right w:val="nil"/>
            </w:tcBorders>
          </w:tcPr>
          <w:p w:rsidR="00A63CF9" w:rsidRDefault="007E7E15">
            <w:pPr>
              <w:rPr>
                <w:color w:val="000000" w:themeColor="text1"/>
                <w:sz w:val="28"/>
              </w:rPr>
            </w:pPr>
            <w:r>
              <w:rPr>
                <w:color w:val="000000" w:themeColor="text1"/>
                <w:sz w:val="28"/>
              </w:rPr>
              <w:t xml:space="preserve">средний </w:t>
            </w:r>
            <w:r>
              <w:rPr>
                <w:color w:val="000000" w:themeColor="text1"/>
                <w:sz w:val="28"/>
              </w:rPr>
              <w:tab/>
              <w:t xml:space="preserve">норматив </w:t>
            </w:r>
            <w:r>
              <w:rPr>
                <w:color w:val="000000" w:themeColor="text1"/>
                <w:sz w:val="28"/>
              </w:rPr>
              <w:tab/>
              <w:t xml:space="preserve">объема </w:t>
            </w:r>
            <w:r>
              <w:rPr>
                <w:color w:val="000000" w:themeColor="text1"/>
                <w:sz w:val="28"/>
              </w:rPr>
              <w:tab/>
              <w:t xml:space="preserve">медицинской </w:t>
            </w:r>
            <w:r>
              <w:rPr>
                <w:color w:val="000000" w:themeColor="text1"/>
                <w:sz w:val="28"/>
              </w:rPr>
              <w:tab/>
              <w:t xml:space="preserve">помощи, оказываемой в амбулаторных условиях в неотложной форме, установленный </w:t>
            </w:r>
            <w:r>
              <w:rPr>
                <w:color w:val="000000" w:themeColor="text1"/>
                <w:sz w:val="28"/>
              </w:rPr>
              <w:tab/>
              <w:t xml:space="preserve">Территориальной </w:t>
            </w:r>
            <w:r>
              <w:rPr>
                <w:color w:val="000000" w:themeColor="text1"/>
                <w:sz w:val="28"/>
              </w:rPr>
              <w:tab/>
              <w:t xml:space="preserve">программой государственных гарантий в части базовой программы, посещений; </w:t>
            </w:r>
          </w:p>
        </w:tc>
      </w:tr>
      <w:tr w:rsidR="00A63CF9">
        <w:trPr>
          <w:trHeight w:val="2136"/>
        </w:trPr>
        <w:tc>
          <w:tcPr>
            <w:tcW w:w="1376" w:type="dxa"/>
            <w:tcBorders>
              <w:top w:val="nil"/>
              <w:left w:val="nil"/>
              <w:bottom w:val="nil"/>
              <w:right w:val="nil"/>
            </w:tcBorders>
          </w:tcPr>
          <w:p w:rsidR="00A63CF9" w:rsidRDefault="007E7E15">
            <w:pPr>
              <w:ind w:left="206"/>
              <w:rPr>
                <w:color w:val="000000" w:themeColor="text1"/>
                <w:sz w:val="28"/>
              </w:rPr>
            </w:pPr>
            <w:proofErr w:type="spellStart"/>
            <w:r>
              <w:rPr>
                <w:rFonts w:ascii="Cambria Math" w:eastAsia="Cambria Math" w:hAnsi="Cambria Math" w:cs="Cambria Math"/>
                <w:color w:val="000000" w:themeColor="text1"/>
                <w:sz w:val="28"/>
              </w:rPr>
              <w:t>Но</w:t>
            </w:r>
            <w:r>
              <w:rPr>
                <w:rFonts w:ascii="Cambria Math" w:eastAsia="Cambria Math" w:hAnsi="Cambria Math" w:cs="Cambria Math"/>
                <w:color w:val="000000" w:themeColor="text1"/>
                <w:sz w:val="28"/>
                <w:vertAlign w:val="subscript"/>
              </w:rPr>
              <w:t>МР</w:t>
            </w:r>
            <w:proofErr w:type="spellEnd"/>
            <w:r>
              <w:rPr>
                <w:rFonts w:ascii="Calibri" w:eastAsia="Calibri" w:hAnsi="Calibri" w:cs="Calibri"/>
                <w:color w:val="000000" w:themeColor="text1"/>
              </w:rPr>
              <w:t xml:space="preserve"> </w:t>
            </w:r>
          </w:p>
        </w:tc>
        <w:tc>
          <w:tcPr>
            <w:tcW w:w="7430" w:type="dxa"/>
            <w:tcBorders>
              <w:top w:val="nil"/>
              <w:left w:val="nil"/>
              <w:bottom w:val="nil"/>
              <w:right w:val="nil"/>
            </w:tcBorders>
            <w:vAlign w:val="center"/>
          </w:tcPr>
          <w:p w:rsidR="00A63CF9" w:rsidRDefault="007E7E15">
            <w:pPr>
              <w:ind w:right="75"/>
              <w:jc w:val="both"/>
              <w:rPr>
                <w:color w:val="000000" w:themeColor="text1"/>
                <w:sz w:val="28"/>
              </w:rPr>
            </w:pPr>
            <w:r>
              <w:rPr>
                <w:color w:val="000000" w:themeColor="text1"/>
                <w:sz w:val="28"/>
              </w:rPr>
              <w:t xml:space="preserve">средний норматив объема медицинской помощи, оказываемой в амбулаторных условиях, для обращения по заболеванию при оказании медицинской помощи по профилю «Медицинская реабилитация», установленный Территориальной программой государственных гарантий в части базовой программы, комплексных посещений; </w:t>
            </w:r>
          </w:p>
        </w:tc>
      </w:tr>
      <w:tr w:rsidR="00A63CF9">
        <w:trPr>
          <w:trHeight w:val="1814"/>
        </w:trPr>
        <w:tc>
          <w:tcPr>
            <w:tcW w:w="1376" w:type="dxa"/>
            <w:tcBorders>
              <w:top w:val="nil"/>
              <w:left w:val="nil"/>
              <w:bottom w:val="nil"/>
              <w:right w:val="nil"/>
            </w:tcBorders>
          </w:tcPr>
          <w:p w:rsidR="00A63CF9" w:rsidRDefault="007E7E15">
            <w:pPr>
              <w:ind w:left="209"/>
              <w:rPr>
                <w:color w:val="000000" w:themeColor="text1"/>
                <w:sz w:val="28"/>
              </w:rPr>
            </w:pPr>
            <w:proofErr w:type="spellStart"/>
            <w:r>
              <w:rPr>
                <w:rFonts w:ascii="Cambria Math" w:eastAsia="Cambria Math" w:hAnsi="Cambria Math" w:cs="Cambria Math"/>
                <w:color w:val="000000" w:themeColor="text1"/>
                <w:sz w:val="28"/>
              </w:rPr>
              <w:t>Но</w:t>
            </w:r>
            <w:r>
              <w:rPr>
                <w:rFonts w:ascii="Cambria Math" w:eastAsia="Cambria Math" w:hAnsi="Cambria Math" w:cs="Cambria Math"/>
                <w:color w:val="000000" w:themeColor="text1"/>
                <w:sz w:val="28"/>
                <w:vertAlign w:val="subscript"/>
              </w:rPr>
              <w:t>ДН</w:t>
            </w:r>
            <w:proofErr w:type="spellEnd"/>
            <w:r>
              <w:rPr>
                <w:rFonts w:ascii="Calibri" w:eastAsia="Calibri" w:hAnsi="Calibri" w:cs="Calibri"/>
                <w:color w:val="000000" w:themeColor="text1"/>
                <w:sz w:val="28"/>
              </w:rPr>
              <w:t xml:space="preserve"> </w:t>
            </w:r>
          </w:p>
        </w:tc>
        <w:tc>
          <w:tcPr>
            <w:tcW w:w="7430" w:type="dxa"/>
            <w:tcBorders>
              <w:top w:val="nil"/>
              <w:left w:val="nil"/>
              <w:bottom w:val="nil"/>
              <w:right w:val="nil"/>
            </w:tcBorders>
            <w:vAlign w:val="center"/>
          </w:tcPr>
          <w:p w:rsidR="00A63CF9" w:rsidRDefault="007E7E15">
            <w:pPr>
              <w:ind w:right="71"/>
              <w:jc w:val="both"/>
              <w:rPr>
                <w:color w:val="000000" w:themeColor="text1"/>
                <w:sz w:val="28"/>
              </w:rPr>
            </w:pPr>
            <w:r>
              <w:rPr>
                <w:color w:val="000000" w:themeColor="text1"/>
                <w:sz w:val="28"/>
              </w:rPr>
              <w:t xml:space="preserve">средний норматив объема медицинской помощи, оказываемой в амбулаторных условиях, для диспансерного наблюдения, установленный Территориальной программой государственных гарантий в части базовой программы, комплексных посещений; </w:t>
            </w:r>
          </w:p>
        </w:tc>
      </w:tr>
      <w:tr w:rsidR="00A63CF9">
        <w:trPr>
          <w:trHeight w:val="1813"/>
        </w:trPr>
        <w:tc>
          <w:tcPr>
            <w:tcW w:w="1376" w:type="dxa"/>
            <w:tcBorders>
              <w:top w:val="nil"/>
              <w:left w:val="nil"/>
              <w:bottom w:val="nil"/>
              <w:right w:val="nil"/>
            </w:tcBorders>
          </w:tcPr>
          <w:p w:rsidR="00A63CF9" w:rsidRDefault="007E7E15">
            <w:pPr>
              <w:ind w:left="223"/>
              <w:rPr>
                <w:color w:val="000000" w:themeColor="text1"/>
                <w:sz w:val="28"/>
              </w:rPr>
            </w:pPr>
            <w:proofErr w:type="spellStart"/>
            <w:r>
              <w:rPr>
                <w:rFonts w:ascii="Cambria Math" w:eastAsia="Cambria Math" w:hAnsi="Cambria Math" w:cs="Cambria Math"/>
                <w:color w:val="000000" w:themeColor="text1"/>
                <w:sz w:val="28"/>
              </w:rPr>
              <w:t>Но</w:t>
            </w:r>
            <w:r>
              <w:rPr>
                <w:rFonts w:ascii="Cambria Math" w:eastAsia="Cambria Math" w:hAnsi="Cambria Math" w:cs="Cambria Math"/>
                <w:color w:val="000000" w:themeColor="text1"/>
                <w:sz w:val="28"/>
                <w:vertAlign w:val="subscript"/>
              </w:rPr>
              <w:t>ЦЗ</w:t>
            </w:r>
            <w:proofErr w:type="spellEnd"/>
            <w:r>
              <w:rPr>
                <w:rFonts w:ascii="Calibri" w:eastAsia="Calibri" w:hAnsi="Calibri" w:cs="Calibri"/>
                <w:color w:val="000000" w:themeColor="text1"/>
                <w:sz w:val="28"/>
              </w:rPr>
              <w:t xml:space="preserve"> </w:t>
            </w:r>
          </w:p>
        </w:tc>
        <w:tc>
          <w:tcPr>
            <w:tcW w:w="7430" w:type="dxa"/>
            <w:tcBorders>
              <w:top w:val="nil"/>
              <w:left w:val="nil"/>
              <w:bottom w:val="nil"/>
              <w:right w:val="nil"/>
            </w:tcBorders>
            <w:vAlign w:val="center"/>
          </w:tcPr>
          <w:p w:rsidR="00A63CF9" w:rsidRDefault="007E7E15">
            <w:pPr>
              <w:ind w:right="70"/>
              <w:jc w:val="both"/>
              <w:rPr>
                <w:color w:val="000000" w:themeColor="text1"/>
                <w:sz w:val="28"/>
              </w:rPr>
            </w:pPr>
            <w:r>
              <w:rPr>
                <w:color w:val="000000" w:themeColor="text1"/>
                <w:sz w:val="28"/>
              </w:rPr>
              <w:t xml:space="preserve">средний норматив объема посещений с профилактическими целями центров здоровья в амбулаторных условиях, установленный Территориальной программой государственных гарантий в части базовой программы, комплексных посещений; </w:t>
            </w:r>
          </w:p>
        </w:tc>
      </w:tr>
      <w:tr w:rsidR="00A63CF9">
        <w:trPr>
          <w:trHeight w:val="2137"/>
        </w:trPr>
        <w:tc>
          <w:tcPr>
            <w:tcW w:w="1376" w:type="dxa"/>
            <w:tcBorders>
              <w:top w:val="nil"/>
              <w:left w:val="nil"/>
              <w:bottom w:val="nil"/>
              <w:right w:val="nil"/>
            </w:tcBorders>
          </w:tcPr>
          <w:p w:rsidR="00A63CF9" w:rsidRDefault="007E7E15">
            <w:pPr>
              <w:ind w:left="43"/>
              <w:rPr>
                <w:color w:val="000000" w:themeColor="text1"/>
                <w:sz w:val="28"/>
              </w:rPr>
            </w:pPr>
            <w:proofErr w:type="spellStart"/>
            <w:r>
              <w:rPr>
                <w:rFonts w:ascii="Cambria Math" w:eastAsia="Cambria Math" w:hAnsi="Cambria Math" w:cs="Cambria Math"/>
                <w:color w:val="000000" w:themeColor="text1"/>
                <w:sz w:val="28"/>
              </w:rPr>
              <w:t>Нфз</w:t>
            </w:r>
            <w:r>
              <w:rPr>
                <w:rFonts w:ascii="Cambria Math" w:eastAsia="Cambria Math" w:hAnsi="Cambria Math" w:cs="Cambria Math"/>
                <w:color w:val="000000" w:themeColor="text1"/>
                <w:sz w:val="28"/>
                <w:vertAlign w:val="subscript"/>
              </w:rPr>
              <w:t>ПМО</w:t>
            </w:r>
            <w:proofErr w:type="spellEnd"/>
            <w:r>
              <w:rPr>
                <w:color w:val="000000" w:themeColor="text1"/>
                <w:sz w:val="28"/>
              </w:rPr>
              <w:t xml:space="preserve"> </w:t>
            </w:r>
          </w:p>
        </w:tc>
        <w:tc>
          <w:tcPr>
            <w:tcW w:w="7430" w:type="dxa"/>
            <w:tcBorders>
              <w:top w:val="nil"/>
              <w:left w:val="nil"/>
              <w:bottom w:val="nil"/>
              <w:right w:val="nil"/>
            </w:tcBorders>
            <w:vAlign w:val="center"/>
          </w:tcPr>
          <w:p w:rsidR="00A63CF9" w:rsidRDefault="007E7E15">
            <w:pPr>
              <w:ind w:right="74"/>
              <w:jc w:val="both"/>
              <w:rPr>
                <w:color w:val="000000" w:themeColor="text1"/>
                <w:sz w:val="28"/>
              </w:rPr>
            </w:pPr>
            <w:r>
              <w:rPr>
                <w:color w:val="000000" w:themeColor="text1"/>
                <w:sz w:val="28"/>
              </w:rPr>
              <w:t xml:space="preserve">средний норматив финансовых затрат на единицу объема медицинской помощи, оказываемой в амбулаторных условиях, для проведения профилактических медицинских осмотров, установленный Территориальной программой государственных гарантий в части базовой программы, рублей; </w:t>
            </w:r>
          </w:p>
        </w:tc>
      </w:tr>
      <w:tr w:rsidR="00A63CF9">
        <w:trPr>
          <w:trHeight w:val="1815"/>
        </w:trPr>
        <w:tc>
          <w:tcPr>
            <w:tcW w:w="1376" w:type="dxa"/>
            <w:tcBorders>
              <w:top w:val="nil"/>
              <w:left w:val="nil"/>
              <w:bottom w:val="nil"/>
              <w:right w:val="nil"/>
            </w:tcBorders>
          </w:tcPr>
          <w:p w:rsidR="00A63CF9" w:rsidRDefault="007E7E15">
            <w:pPr>
              <w:rPr>
                <w:color w:val="000000" w:themeColor="text1"/>
                <w:sz w:val="28"/>
              </w:rPr>
            </w:pPr>
            <w:proofErr w:type="spellStart"/>
            <w:r>
              <w:rPr>
                <w:rFonts w:ascii="Cambria Math" w:eastAsia="Cambria Math" w:hAnsi="Cambria Math" w:cs="Cambria Math"/>
                <w:color w:val="000000" w:themeColor="text1"/>
                <w:sz w:val="28"/>
              </w:rPr>
              <w:t>Нфз</w:t>
            </w:r>
            <w:r>
              <w:rPr>
                <w:rFonts w:ascii="Cambria Math" w:eastAsia="Cambria Math" w:hAnsi="Cambria Math" w:cs="Cambria Math"/>
                <w:color w:val="000000" w:themeColor="text1"/>
                <w:sz w:val="28"/>
                <w:vertAlign w:val="subscript"/>
              </w:rPr>
              <w:t>ДИСП</w:t>
            </w:r>
            <w:proofErr w:type="spellEnd"/>
            <w:r>
              <w:rPr>
                <w:rFonts w:ascii="Calibri" w:eastAsia="Calibri" w:hAnsi="Calibri" w:cs="Calibri"/>
                <w:color w:val="000000" w:themeColor="text1"/>
                <w:sz w:val="28"/>
              </w:rPr>
              <w:t xml:space="preserve"> </w:t>
            </w:r>
          </w:p>
        </w:tc>
        <w:tc>
          <w:tcPr>
            <w:tcW w:w="7430" w:type="dxa"/>
            <w:tcBorders>
              <w:top w:val="nil"/>
              <w:left w:val="nil"/>
              <w:bottom w:val="nil"/>
              <w:right w:val="nil"/>
            </w:tcBorders>
            <w:vAlign w:val="center"/>
          </w:tcPr>
          <w:p w:rsidR="00A63CF9" w:rsidRDefault="007E7E15">
            <w:pPr>
              <w:ind w:right="72"/>
              <w:jc w:val="both"/>
              <w:rPr>
                <w:color w:val="000000" w:themeColor="text1"/>
                <w:sz w:val="28"/>
              </w:rPr>
            </w:pPr>
            <w:r>
              <w:rPr>
                <w:color w:val="000000" w:themeColor="text1"/>
                <w:sz w:val="28"/>
              </w:rPr>
              <w:t xml:space="preserve">средний норматив финансовых затрат на единицу объема медицинской помощи, оказываемой в амбулаторных условиях, для проведения диспансеризации, установленный Территориальной программой государственных гарантий в части базовой программы, рублей; </w:t>
            </w:r>
          </w:p>
        </w:tc>
      </w:tr>
      <w:tr w:rsidR="00A63CF9">
        <w:trPr>
          <w:trHeight w:val="740"/>
        </w:trPr>
        <w:tc>
          <w:tcPr>
            <w:tcW w:w="1376" w:type="dxa"/>
            <w:tcBorders>
              <w:top w:val="nil"/>
              <w:left w:val="nil"/>
              <w:bottom w:val="nil"/>
              <w:right w:val="nil"/>
            </w:tcBorders>
            <w:vAlign w:val="center"/>
          </w:tcPr>
          <w:p w:rsidR="00A63CF9" w:rsidRDefault="007E7E15">
            <w:pPr>
              <w:ind w:left="19"/>
              <w:rPr>
                <w:color w:val="000000" w:themeColor="text1"/>
                <w:sz w:val="28"/>
              </w:rPr>
            </w:pPr>
            <w:proofErr w:type="spellStart"/>
            <w:r>
              <w:rPr>
                <w:rFonts w:ascii="Cambria Math" w:eastAsia="Cambria Math" w:hAnsi="Cambria Math" w:cs="Cambria Math"/>
                <w:color w:val="000000" w:themeColor="text1"/>
                <w:sz w:val="28"/>
              </w:rPr>
              <w:t>Нфз</w:t>
            </w:r>
            <w:r>
              <w:rPr>
                <w:rFonts w:ascii="Cambria Math" w:eastAsia="Cambria Math" w:hAnsi="Cambria Math" w:cs="Cambria Math"/>
                <w:color w:val="000000" w:themeColor="text1"/>
                <w:sz w:val="28"/>
                <w:vertAlign w:val="subscript"/>
              </w:rPr>
              <w:t>РЕПР</w:t>
            </w:r>
            <w:proofErr w:type="spellEnd"/>
            <w:r>
              <w:rPr>
                <w:rFonts w:ascii="Calibri" w:eastAsia="Calibri" w:hAnsi="Calibri" w:cs="Calibri"/>
                <w:color w:val="000000" w:themeColor="text1"/>
                <w:sz w:val="28"/>
              </w:rPr>
              <w:t xml:space="preserve"> </w:t>
            </w:r>
          </w:p>
        </w:tc>
        <w:tc>
          <w:tcPr>
            <w:tcW w:w="7430" w:type="dxa"/>
            <w:tcBorders>
              <w:top w:val="nil"/>
              <w:left w:val="nil"/>
              <w:bottom w:val="nil"/>
              <w:right w:val="nil"/>
            </w:tcBorders>
            <w:vAlign w:val="bottom"/>
          </w:tcPr>
          <w:p w:rsidR="00A63CF9" w:rsidRDefault="007E7E15">
            <w:pPr>
              <w:jc w:val="both"/>
              <w:rPr>
                <w:color w:val="000000" w:themeColor="text1"/>
                <w:sz w:val="28"/>
              </w:rPr>
            </w:pPr>
            <w:r>
              <w:rPr>
                <w:color w:val="000000" w:themeColor="text1"/>
                <w:sz w:val="28"/>
              </w:rPr>
              <w:t xml:space="preserve">средний норматив финансовых затрат на единицу объема медицинской помощи, оказываемой в амбулаторных </w:t>
            </w:r>
          </w:p>
        </w:tc>
      </w:tr>
    </w:tbl>
    <w:p w:rsidR="00A63CF9" w:rsidRDefault="007E7E15">
      <w:pPr>
        <w:spacing w:after="5" w:line="249" w:lineRule="auto"/>
        <w:ind w:left="1825" w:right="64"/>
        <w:jc w:val="both"/>
        <w:rPr>
          <w:color w:val="000000" w:themeColor="text1"/>
          <w:sz w:val="28"/>
        </w:rPr>
      </w:pPr>
      <w:r>
        <w:rPr>
          <w:color w:val="000000" w:themeColor="text1"/>
          <w:sz w:val="28"/>
        </w:rPr>
        <w:t xml:space="preserve">условиях, для проведения диспансеризации репродуктивного здоровья женщин и мужчин, установленный </w:t>
      </w:r>
    </w:p>
    <w:p w:rsidR="00A63CF9" w:rsidRDefault="007E7E15">
      <w:pPr>
        <w:spacing w:after="5" w:line="249" w:lineRule="auto"/>
        <w:ind w:left="1825" w:right="64"/>
        <w:jc w:val="both"/>
        <w:rPr>
          <w:color w:val="000000" w:themeColor="text1"/>
          <w:sz w:val="28"/>
        </w:rPr>
      </w:pPr>
      <w:r>
        <w:rPr>
          <w:color w:val="000000" w:themeColor="text1"/>
          <w:sz w:val="28"/>
        </w:rPr>
        <w:t xml:space="preserve">Территориальной программой государственных гарантий в части базовой программы, рублей; </w:t>
      </w:r>
    </w:p>
    <w:tbl>
      <w:tblPr>
        <w:tblStyle w:val="TableGrid"/>
        <w:tblW w:w="8866" w:type="dxa"/>
        <w:tblInd w:w="389" w:type="dxa"/>
        <w:tblLook w:val="04A0" w:firstRow="1" w:lastRow="0" w:firstColumn="1" w:lastColumn="0" w:noHBand="0" w:noVBand="1"/>
      </w:tblPr>
      <w:tblGrid>
        <w:gridCol w:w="1436"/>
        <w:gridCol w:w="7430"/>
      </w:tblGrid>
      <w:tr w:rsidR="00A63CF9">
        <w:trPr>
          <w:trHeight w:val="1708"/>
        </w:trPr>
        <w:tc>
          <w:tcPr>
            <w:tcW w:w="1436" w:type="dxa"/>
            <w:tcBorders>
              <w:top w:val="nil"/>
              <w:left w:val="nil"/>
              <w:bottom w:val="nil"/>
              <w:right w:val="nil"/>
            </w:tcBorders>
          </w:tcPr>
          <w:p w:rsidR="00A63CF9" w:rsidRDefault="007E7E15">
            <w:pPr>
              <w:ind w:left="182"/>
              <w:rPr>
                <w:color w:val="000000" w:themeColor="text1"/>
                <w:sz w:val="28"/>
              </w:rPr>
            </w:pPr>
            <w:proofErr w:type="spellStart"/>
            <w:r>
              <w:rPr>
                <w:rFonts w:ascii="Cambria Math" w:eastAsia="Cambria Math" w:hAnsi="Cambria Math" w:cs="Cambria Math"/>
                <w:color w:val="000000" w:themeColor="text1"/>
                <w:sz w:val="28"/>
              </w:rPr>
              <w:t>Нфз</w:t>
            </w:r>
            <w:r>
              <w:rPr>
                <w:rFonts w:ascii="Cambria Math" w:eastAsia="Cambria Math" w:hAnsi="Cambria Math" w:cs="Cambria Math"/>
                <w:color w:val="000000" w:themeColor="text1"/>
                <w:sz w:val="28"/>
                <w:vertAlign w:val="subscript"/>
              </w:rPr>
              <w:t>ИЦ</w:t>
            </w:r>
            <w:proofErr w:type="spellEnd"/>
            <w:r>
              <w:rPr>
                <w:rFonts w:ascii="Calibri" w:eastAsia="Calibri" w:hAnsi="Calibri" w:cs="Calibri"/>
                <w:color w:val="000000" w:themeColor="text1"/>
                <w:sz w:val="28"/>
              </w:rPr>
              <w:t xml:space="preserve"> </w:t>
            </w:r>
          </w:p>
        </w:tc>
        <w:tc>
          <w:tcPr>
            <w:tcW w:w="7430" w:type="dxa"/>
            <w:tcBorders>
              <w:top w:val="nil"/>
              <w:left w:val="nil"/>
              <w:bottom w:val="nil"/>
              <w:right w:val="nil"/>
            </w:tcBorders>
          </w:tcPr>
          <w:p w:rsidR="00A63CF9" w:rsidRDefault="007E7E15">
            <w:pPr>
              <w:ind w:right="69"/>
              <w:jc w:val="both"/>
              <w:rPr>
                <w:color w:val="000000" w:themeColor="text1"/>
                <w:sz w:val="28"/>
              </w:rPr>
            </w:pPr>
            <w:r>
              <w:rPr>
                <w:color w:val="000000" w:themeColor="text1"/>
                <w:sz w:val="28"/>
              </w:rPr>
              <w:t xml:space="preserve">средний норматив финансовых затрат на единицу объема медицинской помощи, оказываемой в амбулаторных условиях, для посещений с иными целями, установленный Территориальной программой государственных гарантий в части базовой программы, рублей; </w:t>
            </w:r>
          </w:p>
        </w:tc>
      </w:tr>
      <w:tr w:rsidR="00A63CF9">
        <w:trPr>
          <w:trHeight w:val="1814"/>
        </w:trPr>
        <w:tc>
          <w:tcPr>
            <w:tcW w:w="1436" w:type="dxa"/>
            <w:tcBorders>
              <w:top w:val="nil"/>
              <w:left w:val="nil"/>
              <w:bottom w:val="nil"/>
              <w:right w:val="nil"/>
            </w:tcBorders>
          </w:tcPr>
          <w:p w:rsidR="00A63CF9" w:rsidRDefault="007E7E15">
            <w:pPr>
              <w:ind w:left="199"/>
              <w:rPr>
                <w:color w:val="000000" w:themeColor="text1"/>
                <w:sz w:val="28"/>
              </w:rPr>
            </w:pPr>
            <w:proofErr w:type="spellStart"/>
            <w:r>
              <w:rPr>
                <w:rFonts w:ascii="Cambria Math" w:eastAsia="Cambria Math" w:hAnsi="Cambria Math" w:cs="Cambria Math"/>
                <w:color w:val="000000" w:themeColor="text1"/>
                <w:sz w:val="28"/>
              </w:rPr>
              <w:t>Нфз</w:t>
            </w:r>
            <w:r>
              <w:rPr>
                <w:rFonts w:ascii="Cambria Math" w:eastAsia="Cambria Math" w:hAnsi="Cambria Math" w:cs="Cambria Math"/>
                <w:color w:val="000000" w:themeColor="text1"/>
                <w:sz w:val="28"/>
                <w:vertAlign w:val="subscript"/>
              </w:rPr>
              <w:t>ОЗ</w:t>
            </w:r>
            <w:proofErr w:type="spellEnd"/>
            <w:r>
              <w:rPr>
                <w:color w:val="000000" w:themeColor="text1"/>
                <w:sz w:val="28"/>
              </w:rPr>
              <w:t xml:space="preserve"> </w:t>
            </w:r>
          </w:p>
        </w:tc>
        <w:tc>
          <w:tcPr>
            <w:tcW w:w="7430" w:type="dxa"/>
            <w:tcBorders>
              <w:top w:val="nil"/>
              <w:left w:val="nil"/>
              <w:bottom w:val="nil"/>
              <w:right w:val="nil"/>
            </w:tcBorders>
            <w:vAlign w:val="center"/>
          </w:tcPr>
          <w:p w:rsidR="00A63CF9" w:rsidRDefault="007E7E15">
            <w:pPr>
              <w:ind w:right="74"/>
              <w:jc w:val="both"/>
              <w:rPr>
                <w:color w:val="000000" w:themeColor="text1"/>
                <w:sz w:val="28"/>
              </w:rPr>
            </w:pPr>
            <w:r>
              <w:rPr>
                <w:color w:val="000000" w:themeColor="text1"/>
                <w:sz w:val="28"/>
              </w:rPr>
              <w:t xml:space="preserve">средний норматив финансовых затрат на единицу объема медицинской помощи, оказываемой в амбулаторных условиях в связи с заболеваниями, установленный Территориальной программой государственных гарантий в части базовой программы, рублей; </w:t>
            </w:r>
          </w:p>
        </w:tc>
      </w:tr>
      <w:tr w:rsidR="00A63CF9">
        <w:trPr>
          <w:trHeight w:val="2458"/>
        </w:trPr>
        <w:tc>
          <w:tcPr>
            <w:tcW w:w="1436" w:type="dxa"/>
            <w:tcBorders>
              <w:top w:val="nil"/>
              <w:left w:val="nil"/>
              <w:bottom w:val="nil"/>
              <w:right w:val="nil"/>
            </w:tcBorders>
          </w:tcPr>
          <w:p w:rsidR="00A63CF9" w:rsidRDefault="007E7E15">
            <w:pPr>
              <w:ind w:left="34"/>
              <w:rPr>
                <w:color w:val="000000" w:themeColor="text1"/>
                <w:sz w:val="28"/>
              </w:rPr>
            </w:pPr>
            <w:proofErr w:type="spellStart"/>
            <w:r>
              <w:rPr>
                <w:rFonts w:ascii="Cambria Math" w:eastAsia="Cambria Math" w:hAnsi="Cambria Math" w:cs="Cambria Math"/>
                <w:color w:val="000000" w:themeColor="text1"/>
                <w:sz w:val="28"/>
              </w:rPr>
              <w:t>Нфз</w:t>
            </w:r>
            <w:r>
              <w:rPr>
                <w:rFonts w:ascii="Cambria Math" w:eastAsia="Cambria Math" w:hAnsi="Cambria Math" w:cs="Cambria Math"/>
                <w:color w:val="000000" w:themeColor="text1"/>
                <w:sz w:val="20"/>
              </w:rPr>
              <w:t>Д</w:t>
            </w:r>
            <w:proofErr w:type="spellEnd"/>
            <w:r>
              <w:rPr>
                <w:rFonts w:ascii="Cambria Math" w:eastAsia="Cambria Math" w:hAnsi="Cambria Math" w:cs="Cambria Math"/>
                <w:color w:val="000000" w:themeColor="text1"/>
                <w:sz w:val="20"/>
              </w:rPr>
              <w:t>(Л)И</w:t>
            </w:r>
            <w:r>
              <w:rPr>
                <w:rFonts w:ascii="Calibri" w:eastAsia="Calibri" w:hAnsi="Calibri" w:cs="Calibri"/>
                <w:color w:val="000000" w:themeColor="text1"/>
                <w:sz w:val="28"/>
              </w:rPr>
              <w:t xml:space="preserve"> </w:t>
            </w:r>
          </w:p>
        </w:tc>
        <w:tc>
          <w:tcPr>
            <w:tcW w:w="7430" w:type="dxa"/>
            <w:tcBorders>
              <w:top w:val="nil"/>
              <w:left w:val="nil"/>
              <w:bottom w:val="nil"/>
              <w:right w:val="nil"/>
            </w:tcBorders>
            <w:vAlign w:val="center"/>
          </w:tcPr>
          <w:p w:rsidR="00A63CF9" w:rsidRDefault="007E7E15">
            <w:pPr>
              <w:spacing w:after="2" w:line="238" w:lineRule="auto"/>
              <w:ind w:right="73"/>
              <w:jc w:val="both"/>
              <w:rPr>
                <w:color w:val="000000" w:themeColor="text1"/>
                <w:sz w:val="28"/>
              </w:rPr>
            </w:pPr>
            <w:r>
              <w:rPr>
                <w:color w:val="000000" w:themeColor="text1"/>
                <w:sz w:val="28"/>
              </w:rPr>
              <w:t xml:space="preserve">средний норматив финансовых затрат на единицу объема медицинской помощи, оказываемой в амбулаторных условиях, для проведения отдельных диагностических </w:t>
            </w:r>
          </w:p>
          <w:p w:rsidR="00A63CF9" w:rsidRDefault="007E7E15">
            <w:pPr>
              <w:ind w:right="67"/>
              <w:jc w:val="both"/>
              <w:rPr>
                <w:color w:val="000000" w:themeColor="text1"/>
                <w:sz w:val="28"/>
              </w:rPr>
            </w:pPr>
            <w:r>
              <w:rPr>
                <w:color w:val="000000" w:themeColor="text1"/>
                <w:sz w:val="28"/>
              </w:rPr>
              <w:t xml:space="preserve">(лабораторных) исследований, установленный Территориальной программой государственных гарантий в части базовой программы, рублей; </w:t>
            </w:r>
          </w:p>
        </w:tc>
      </w:tr>
      <w:tr w:rsidR="00A63CF9">
        <w:trPr>
          <w:trHeight w:val="2458"/>
        </w:trPr>
        <w:tc>
          <w:tcPr>
            <w:tcW w:w="1436" w:type="dxa"/>
            <w:tcBorders>
              <w:top w:val="nil"/>
              <w:left w:val="nil"/>
              <w:bottom w:val="nil"/>
              <w:right w:val="nil"/>
            </w:tcBorders>
          </w:tcPr>
          <w:p w:rsidR="00A63CF9" w:rsidRDefault="007E7E15">
            <w:pPr>
              <w:ind w:left="26"/>
              <w:rPr>
                <w:color w:val="000000" w:themeColor="text1"/>
                <w:sz w:val="28"/>
              </w:rPr>
            </w:pPr>
            <w:proofErr w:type="spellStart"/>
            <w:r>
              <w:rPr>
                <w:rFonts w:ascii="Cambria Math" w:eastAsia="Cambria Math" w:hAnsi="Cambria Math" w:cs="Cambria Math"/>
                <w:color w:val="000000" w:themeColor="text1"/>
                <w:sz w:val="28"/>
              </w:rPr>
              <w:t>Нфз</w:t>
            </w:r>
            <w:r>
              <w:rPr>
                <w:rFonts w:ascii="Cambria Math" w:eastAsia="Cambria Math" w:hAnsi="Cambria Math" w:cs="Cambria Math"/>
                <w:color w:val="000000" w:themeColor="text1"/>
                <w:sz w:val="28"/>
                <w:vertAlign w:val="subscript"/>
              </w:rPr>
              <w:t>ШКОЛ</w:t>
            </w:r>
            <w:proofErr w:type="spellEnd"/>
            <w:r>
              <w:rPr>
                <w:rFonts w:ascii="Calibri" w:eastAsia="Calibri" w:hAnsi="Calibri" w:cs="Calibri"/>
                <w:color w:val="000000" w:themeColor="text1"/>
                <w:sz w:val="28"/>
              </w:rPr>
              <w:t xml:space="preserve"> </w:t>
            </w:r>
          </w:p>
        </w:tc>
        <w:tc>
          <w:tcPr>
            <w:tcW w:w="7430" w:type="dxa"/>
            <w:tcBorders>
              <w:top w:val="nil"/>
              <w:left w:val="nil"/>
              <w:bottom w:val="nil"/>
              <w:right w:val="nil"/>
            </w:tcBorders>
            <w:vAlign w:val="center"/>
          </w:tcPr>
          <w:p w:rsidR="00A63CF9" w:rsidRDefault="007E7E15">
            <w:pPr>
              <w:ind w:right="67"/>
              <w:jc w:val="both"/>
              <w:rPr>
                <w:color w:val="000000" w:themeColor="text1"/>
                <w:sz w:val="28"/>
              </w:rPr>
            </w:pPr>
            <w:r>
              <w:rPr>
                <w:color w:val="000000" w:themeColor="text1"/>
                <w:sz w:val="28"/>
              </w:rPr>
              <w:t xml:space="preserve">средний норматив финансовых затрат на единицу объема медицинской помощи, оказываемой в амбулаторных условиях в школах для больных с хроническими заболеваниями, в том числе школах сахарного диабета, установленный Территориальной программой государственных гарантий в части базовой программы, рублей; </w:t>
            </w:r>
          </w:p>
        </w:tc>
      </w:tr>
      <w:tr w:rsidR="00A63CF9">
        <w:trPr>
          <w:trHeight w:val="1807"/>
        </w:trPr>
        <w:tc>
          <w:tcPr>
            <w:tcW w:w="1436" w:type="dxa"/>
            <w:tcBorders>
              <w:top w:val="nil"/>
              <w:left w:val="nil"/>
              <w:bottom w:val="nil"/>
              <w:right w:val="nil"/>
            </w:tcBorders>
          </w:tcPr>
          <w:p w:rsidR="00A63CF9" w:rsidRDefault="007E7E15">
            <w:pPr>
              <w:rPr>
                <w:color w:val="000000" w:themeColor="text1"/>
                <w:sz w:val="28"/>
              </w:rPr>
            </w:pPr>
            <w:proofErr w:type="spellStart"/>
            <w:r>
              <w:rPr>
                <w:rFonts w:ascii="Cambria Math" w:eastAsia="Cambria Math" w:hAnsi="Cambria Math" w:cs="Cambria Math"/>
                <w:color w:val="000000" w:themeColor="text1"/>
                <w:sz w:val="28"/>
              </w:rPr>
              <w:t>Нфз</w:t>
            </w:r>
            <w:r>
              <w:rPr>
                <w:rFonts w:ascii="Cambria Math" w:eastAsia="Cambria Math" w:hAnsi="Cambria Math" w:cs="Cambria Math"/>
                <w:color w:val="000000" w:themeColor="text1"/>
                <w:sz w:val="28"/>
                <w:vertAlign w:val="subscript"/>
              </w:rPr>
              <w:t>НЕОТЛ</w:t>
            </w:r>
            <w:proofErr w:type="spellEnd"/>
            <w:r>
              <w:rPr>
                <w:color w:val="000000" w:themeColor="text1"/>
                <w:sz w:val="28"/>
              </w:rPr>
              <w:t xml:space="preserve"> </w:t>
            </w:r>
          </w:p>
        </w:tc>
        <w:tc>
          <w:tcPr>
            <w:tcW w:w="7430" w:type="dxa"/>
            <w:tcBorders>
              <w:top w:val="nil"/>
              <w:left w:val="nil"/>
              <w:bottom w:val="nil"/>
              <w:right w:val="nil"/>
            </w:tcBorders>
            <w:vAlign w:val="center"/>
          </w:tcPr>
          <w:p w:rsidR="00A63CF9" w:rsidRDefault="007E7E15">
            <w:pPr>
              <w:ind w:right="74"/>
              <w:jc w:val="both"/>
              <w:rPr>
                <w:color w:val="000000" w:themeColor="text1"/>
                <w:sz w:val="28"/>
              </w:rPr>
            </w:pPr>
            <w:r>
              <w:rPr>
                <w:color w:val="000000" w:themeColor="text1"/>
                <w:sz w:val="28"/>
              </w:rPr>
              <w:t xml:space="preserve">средний норматив финансовых затрат на единицу объема медицинской помощи, оказываемой в амбулаторных условиях в неотложной форме, установленный Территориальной программой государственных гарантий в части базовой программы, рублей; </w:t>
            </w:r>
          </w:p>
        </w:tc>
      </w:tr>
      <w:tr w:rsidR="00A63CF9">
        <w:trPr>
          <w:trHeight w:val="1311"/>
        </w:trPr>
        <w:tc>
          <w:tcPr>
            <w:tcW w:w="1436" w:type="dxa"/>
            <w:tcBorders>
              <w:top w:val="nil"/>
              <w:left w:val="nil"/>
              <w:bottom w:val="nil"/>
              <w:right w:val="nil"/>
            </w:tcBorders>
          </w:tcPr>
          <w:p w:rsidR="00A63CF9" w:rsidRDefault="007E7E15">
            <w:pPr>
              <w:ind w:left="180"/>
              <w:rPr>
                <w:color w:val="000000" w:themeColor="text1"/>
                <w:sz w:val="28"/>
              </w:rPr>
            </w:pPr>
            <w:proofErr w:type="spellStart"/>
            <w:r>
              <w:rPr>
                <w:rFonts w:ascii="Cambria Math" w:eastAsia="Cambria Math" w:hAnsi="Cambria Math" w:cs="Cambria Math"/>
                <w:color w:val="000000" w:themeColor="text1"/>
                <w:sz w:val="28"/>
              </w:rPr>
              <w:t>Нфз</w:t>
            </w:r>
            <w:r>
              <w:rPr>
                <w:rFonts w:ascii="Cambria Math" w:eastAsia="Cambria Math" w:hAnsi="Cambria Math" w:cs="Cambria Math"/>
                <w:color w:val="000000" w:themeColor="text1"/>
                <w:sz w:val="28"/>
                <w:vertAlign w:val="subscript"/>
              </w:rPr>
              <w:t>МР</w:t>
            </w:r>
            <w:proofErr w:type="spellEnd"/>
            <w:r>
              <w:rPr>
                <w:rFonts w:ascii="Calibri" w:eastAsia="Calibri" w:hAnsi="Calibri" w:cs="Calibri"/>
                <w:color w:val="000000" w:themeColor="text1"/>
              </w:rPr>
              <w:t xml:space="preserve"> </w:t>
            </w:r>
          </w:p>
        </w:tc>
        <w:tc>
          <w:tcPr>
            <w:tcW w:w="7430" w:type="dxa"/>
            <w:tcBorders>
              <w:top w:val="nil"/>
              <w:left w:val="nil"/>
              <w:bottom w:val="nil"/>
              <w:right w:val="nil"/>
            </w:tcBorders>
            <w:vAlign w:val="bottom"/>
          </w:tcPr>
          <w:p w:rsidR="00A63CF9" w:rsidRDefault="007E7E15">
            <w:pPr>
              <w:ind w:right="74"/>
              <w:jc w:val="both"/>
              <w:rPr>
                <w:color w:val="000000" w:themeColor="text1"/>
                <w:sz w:val="28"/>
              </w:rPr>
            </w:pPr>
            <w:r>
              <w:rPr>
                <w:color w:val="000000" w:themeColor="text1"/>
                <w:sz w:val="28"/>
              </w:rPr>
              <w:t xml:space="preserve">средний норматив финансовых затрат на единицу объема медицинской помощи, оказываемой в амбулаторных условиях, для обращения по заболеванию при оказании медицинской помощи по профилю «Медицинская </w:t>
            </w:r>
          </w:p>
        </w:tc>
      </w:tr>
    </w:tbl>
    <w:p w:rsidR="00A63CF9" w:rsidRDefault="007E7E15">
      <w:pPr>
        <w:spacing w:after="5" w:line="249" w:lineRule="auto"/>
        <w:ind w:left="1825" w:right="420"/>
        <w:jc w:val="both"/>
        <w:rPr>
          <w:color w:val="000000" w:themeColor="text1"/>
          <w:sz w:val="28"/>
        </w:rPr>
      </w:pPr>
      <w:r>
        <w:rPr>
          <w:color w:val="000000" w:themeColor="text1"/>
          <w:sz w:val="28"/>
        </w:rPr>
        <w:t xml:space="preserve">реабилитация», установленный Территориальной программой государственных гарантий в части базовой программы, рублей; </w:t>
      </w:r>
    </w:p>
    <w:tbl>
      <w:tblPr>
        <w:tblStyle w:val="TableGrid"/>
        <w:tblW w:w="8681" w:type="dxa"/>
        <w:tblInd w:w="574" w:type="dxa"/>
        <w:tblLook w:val="04A0" w:firstRow="1" w:lastRow="0" w:firstColumn="1" w:lastColumn="0" w:noHBand="0" w:noVBand="1"/>
      </w:tblPr>
      <w:tblGrid>
        <w:gridCol w:w="1041"/>
        <w:gridCol w:w="7640"/>
      </w:tblGrid>
      <w:tr w:rsidR="00A63CF9">
        <w:trPr>
          <w:trHeight w:val="1608"/>
        </w:trPr>
        <w:tc>
          <w:tcPr>
            <w:tcW w:w="1041" w:type="dxa"/>
            <w:tcBorders>
              <w:top w:val="nil"/>
              <w:left w:val="nil"/>
              <w:bottom w:val="nil"/>
              <w:right w:val="nil"/>
            </w:tcBorders>
          </w:tcPr>
          <w:p w:rsidR="00A63CF9" w:rsidRDefault="007E7E15">
            <w:pPr>
              <w:rPr>
                <w:color w:val="000000" w:themeColor="text1"/>
                <w:sz w:val="28"/>
              </w:rPr>
            </w:pPr>
            <w:proofErr w:type="spellStart"/>
            <w:r>
              <w:rPr>
                <w:rFonts w:ascii="Cambria Math" w:eastAsia="Cambria Math" w:hAnsi="Cambria Math" w:cs="Cambria Math"/>
                <w:color w:val="000000" w:themeColor="text1"/>
                <w:sz w:val="28"/>
              </w:rPr>
              <w:t>Нфз</w:t>
            </w:r>
            <w:r>
              <w:rPr>
                <w:rFonts w:ascii="Cambria Math" w:eastAsia="Cambria Math" w:hAnsi="Cambria Math" w:cs="Cambria Math"/>
                <w:color w:val="000000" w:themeColor="text1"/>
                <w:sz w:val="28"/>
                <w:vertAlign w:val="subscript"/>
              </w:rPr>
              <w:t>ДН</w:t>
            </w:r>
            <w:proofErr w:type="spellEnd"/>
            <w:r>
              <w:rPr>
                <w:rFonts w:ascii="Calibri" w:eastAsia="Calibri" w:hAnsi="Calibri" w:cs="Calibri"/>
                <w:color w:val="000000" w:themeColor="text1"/>
                <w:sz w:val="28"/>
              </w:rPr>
              <w:t xml:space="preserve"> </w:t>
            </w:r>
          </w:p>
        </w:tc>
        <w:tc>
          <w:tcPr>
            <w:tcW w:w="7640" w:type="dxa"/>
            <w:tcBorders>
              <w:top w:val="nil"/>
              <w:left w:val="nil"/>
              <w:bottom w:val="nil"/>
              <w:right w:val="nil"/>
            </w:tcBorders>
          </w:tcPr>
          <w:p w:rsidR="00A63CF9" w:rsidRDefault="007E7E15">
            <w:pPr>
              <w:ind w:left="210" w:right="72"/>
              <w:jc w:val="both"/>
              <w:rPr>
                <w:color w:val="000000" w:themeColor="text1"/>
                <w:sz w:val="28"/>
              </w:rPr>
            </w:pPr>
            <w:r>
              <w:rPr>
                <w:color w:val="000000" w:themeColor="text1"/>
                <w:sz w:val="28"/>
              </w:rPr>
              <w:t xml:space="preserve">средний норматив финансовых затрат на единицу объема медицинской помощи, оказываемой в амбулаторных условиях, для диспансерного наблюдения, установленный Территориальной программой государственных гарантий в части базовой программы, рублей; </w:t>
            </w:r>
          </w:p>
        </w:tc>
      </w:tr>
      <w:tr w:rsidR="00A63CF9">
        <w:trPr>
          <w:trHeight w:val="1704"/>
        </w:trPr>
        <w:tc>
          <w:tcPr>
            <w:tcW w:w="1041" w:type="dxa"/>
            <w:tcBorders>
              <w:top w:val="nil"/>
              <w:left w:val="nil"/>
              <w:bottom w:val="nil"/>
              <w:right w:val="nil"/>
            </w:tcBorders>
          </w:tcPr>
          <w:p w:rsidR="00A63CF9" w:rsidRDefault="007E7E15">
            <w:pPr>
              <w:ind w:left="12"/>
              <w:rPr>
                <w:color w:val="000000" w:themeColor="text1"/>
                <w:sz w:val="28"/>
              </w:rPr>
            </w:pPr>
            <w:proofErr w:type="spellStart"/>
            <w:r>
              <w:rPr>
                <w:rFonts w:ascii="Cambria Math" w:eastAsia="Cambria Math" w:hAnsi="Cambria Math" w:cs="Cambria Math"/>
                <w:color w:val="000000" w:themeColor="text1"/>
                <w:sz w:val="28"/>
              </w:rPr>
              <w:t>Нфз</w:t>
            </w:r>
            <w:r>
              <w:rPr>
                <w:rFonts w:ascii="Cambria Math" w:eastAsia="Cambria Math" w:hAnsi="Cambria Math" w:cs="Cambria Math"/>
                <w:color w:val="000000" w:themeColor="text1"/>
                <w:sz w:val="28"/>
                <w:vertAlign w:val="subscript"/>
              </w:rPr>
              <w:t>ЦЗ</w:t>
            </w:r>
            <w:proofErr w:type="spellEnd"/>
            <w:r>
              <w:rPr>
                <w:rFonts w:ascii="Calibri" w:eastAsia="Calibri" w:hAnsi="Calibri" w:cs="Calibri"/>
                <w:color w:val="000000" w:themeColor="text1"/>
                <w:sz w:val="28"/>
              </w:rPr>
              <w:t xml:space="preserve"> </w:t>
            </w:r>
          </w:p>
        </w:tc>
        <w:tc>
          <w:tcPr>
            <w:tcW w:w="7640" w:type="dxa"/>
            <w:tcBorders>
              <w:top w:val="nil"/>
              <w:left w:val="nil"/>
              <w:bottom w:val="nil"/>
              <w:right w:val="nil"/>
            </w:tcBorders>
          </w:tcPr>
          <w:p w:rsidR="00A63CF9" w:rsidRDefault="007E7E15">
            <w:pPr>
              <w:ind w:left="210" w:right="67"/>
              <w:jc w:val="both"/>
              <w:rPr>
                <w:color w:val="000000" w:themeColor="text1"/>
                <w:sz w:val="28"/>
              </w:rPr>
            </w:pPr>
            <w:r>
              <w:rPr>
                <w:color w:val="000000" w:themeColor="text1"/>
                <w:sz w:val="28"/>
              </w:rPr>
              <w:t xml:space="preserve">средний норматив финансовых затрат на единицу объема посещений с профилактическими целями центров здоровья в амбулаторных условиях, установленный Территориальной программой государственных гарантий в части базовой программы, рублей; </w:t>
            </w:r>
          </w:p>
        </w:tc>
      </w:tr>
      <w:tr w:rsidR="00A63CF9">
        <w:trPr>
          <w:trHeight w:val="1908"/>
        </w:trPr>
        <w:tc>
          <w:tcPr>
            <w:tcW w:w="1041" w:type="dxa"/>
            <w:tcBorders>
              <w:top w:val="nil"/>
              <w:left w:val="nil"/>
              <w:bottom w:val="nil"/>
              <w:right w:val="nil"/>
            </w:tcBorders>
          </w:tcPr>
          <w:p w:rsidR="00A63CF9" w:rsidRDefault="007E7E15">
            <w:pPr>
              <w:ind w:left="22"/>
              <w:rPr>
                <w:color w:val="000000" w:themeColor="text1"/>
                <w:sz w:val="28"/>
              </w:rPr>
            </w:pPr>
            <w:r>
              <w:rPr>
                <w:rFonts w:ascii="Cambria Math" w:eastAsia="Cambria Math" w:hAnsi="Cambria Math" w:cs="Cambria Math"/>
                <w:color w:val="000000" w:themeColor="text1"/>
                <w:sz w:val="28"/>
              </w:rPr>
              <w:t>ОС</w:t>
            </w:r>
            <w:r>
              <w:rPr>
                <w:rFonts w:ascii="Cambria Math" w:eastAsia="Cambria Math" w:hAnsi="Cambria Math" w:cs="Cambria Math"/>
                <w:color w:val="000000" w:themeColor="text1"/>
                <w:sz w:val="28"/>
                <w:vertAlign w:val="subscript"/>
              </w:rPr>
              <w:t>МТР</w:t>
            </w:r>
            <w:r>
              <w:rPr>
                <w:color w:val="000000" w:themeColor="text1"/>
                <w:sz w:val="28"/>
              </w:rPr>
              <w:t xml:space="preserve"> </w:t>
            </w:r>
          </w:p>
        </w:tc>
        <w:tc>
          <w:tcPr>
            <w:tcW w:w="7640" w:type="dxa"/>
            <w:tcBorders>
              <w:top w:val="nil"/>
              <w:left w:val="nil"/>
              <w:bottom w:val="nil"/>
              <w:right w:val="nil"/>
            </w:tcBorders>
          </w:tcPr>
          <w:p w:rsidR="00A63CF9" w:rsidRDefault="007E7E15">
            <w:pPr>
              <w:ind w:left="210" w:right="74"/>
              <w:jc w:val="both"/>
              <w:rPr>
                <w:color w:val="000000" w:themeColor="text1"/>
                <w:sz w:val="28"/>
              </w:rPr>
            </w:pPr>
            <w:r>
              <w:rPr>
                <w:color w:val="000000" w:themeColor="text1"/>
                <w:sz w:val="28"/>
              </w:rPr>
              <w:t xml:space="preserve">объем средств, направляемых на оплату медицинской помощи, оказываемой в амбулаторных условиях и оплачиваемой за единицу объема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 рублей; </w:t>
            </w:r>
          </w:p>
        </w:tc>
      </w:tr>
    </w:tbl>
    <w:p w:rsidR="00A63CF9" w:rsidRDefault="00A63CF9">
      <w:pPr>
        <w:pStyle w:val="ConsPlusNormal"/>
        <w:jc w:val="both"/>
        <w:rPr>
          <w:rFonts w:ascii="Times New Roman" w:hAnsi="Times New Roman" w:cs="Times New Roman"/>
          <w:strike/>
          <w:color w:val="000000" w:themeColor="text1"/>
          <w:sz w:val="28"/>
          <w:szCs w:val="28"/>
        </w:rPr>
      </w:pPr>
    </w:p>
    <w:p w:rsidR="00A63CF9" w:rsidRDefault="007E7E15" w:rsidP="00566265">
      <w:pPr>
        <w:jc w:val="center"/>
        <w:rPr>
          <w:color w:val="000000" w:themeColor="text1"/>
          <w:sz w:val="28"/>
          <w:szCs w:val="28"/>
        </w:rPr>
      </w:pPr>
      <w:r>
        <w:rPr>
          <w:color w:val="000000" w:themeColor="text1"/>
          <w:sz w:val="28"/>
          <w:szCs w:val="28"/>
        </w:rPr>
        <w:t>5.2. Определение объема средств на оплату медицинской помощи в амбулаторных условиях по подушевому нормативу финансирования на прикрепившихся лиц.</w:t>
      </w:r>
    </w:p>
    <w:p w:rsidR="00A63CF9" w:rsidRDefault="00A63CF9">
      <w:pPr>
        <w:rPr>
          <w:b/>
          <w:color w:val="000000" w:themeColor="text1"/>
          <w:sz w:val="28"/>
          <w:szCs w:val="28"/>
        </w:rPr>
      </w:pPr>
    </w:p>
    <w:p w:rsidR="00A63CF9" w:rsidRDefault="007E7E15" w:rsidP="00745DDF">
      <w:pPr>
        <w:ind w:firstLine="540"/>
        <w:jc w:val="both"/>
        <w:rPr>
          <w:color w:val="000000" w:themeColor="text1"/>
          <w:sz w:val="28"/>
          <w:szCs w:val="28"/>
        </w:rPr>
      </w:pPr>
      <w:r>
        <w:rPr>
          <w:color w:val="000000" w:themeColor="text1"/>
          <w:sz w:val="28"/>
          <w:szCs w:val="28"/>
        </w:rPr>
        <w:t>При формировании реестров счетов и счетов на оплату медицинской помощи, оказываемой в амбулаторных условиях, вне зависимости от применяемого способа оплаты, отражаются все единицы объема с указанием размеров установленных тарифов.</w:t>
      </w:r>
    </w:p>
    <w:p w:rsidR="00A63CF9" w:rsidRDefault="007E7E15">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Объем средств на оплату медицинской помощи в амбулаторных условиях по подушевому нормативу финансирования, оказываемой медицинскими организациями, участвующими в реализации территориальной программы обязательного медицинского страхования Иркутской области (ОС</w:t>
      </w:r>
      <w:r>
        <w:rPr>
          <w:rFonts w:ascii="Times New Roman" w:hAnsi="Times New Roman" w:cs="Times New Roman"/>
          <w:color w:val="000000" w:themeColor="text1"/>
          <w:sz w:val="28"/>
          <w:szCs w:val="28"/>
          <w:vertAlign w:val="subscript"/>
        </w:rPr>
        <w:t>ПНФ</w:t>
      </w:r>
      <w:r>
        <w:rPr>
          <w:rFonts w:ascii="Times New Roman" w:hAnsi="Times New Roman" w:cs="Times New Roman"/>
          <w:color w:val="000000" w:themeColor="text1"/>
          <w:sz w:val="28"/>
          <w:szCs w:val="28"/>
        </w:rPr>
        <w:t>), рассчитывается без учета средств на финансовое обеспечение медицинской помощи, оплачиваемой за единицу объема, и средств на финансовое обеспечение фельдшерских здравпунктов, фельдшерско-акушерских пунктов, определяется по следующей формуле:</w:t>
      </w:r>
    </w:p>
    <w:p w:rsidR="00A63CF9" w:rsidRDefault="00A63CF9">
      <w:pPr>
        <w:pStyle w:val="ConsPlusNormal"/>
        <w:jc w:val="both"/>
        <w:rPr>
          <w:rFonts w:ascii="Times New Roman" w:hAnsi="Times New Roman" w:cs="Times New Roman"/>
          <w:color w:val="000000" w:themeColor="text1"/>
          <w:sz w:val="28"/>
          <w:szCs w:val="28"/>
        </w:rPr>
      </w:pPr>
    </w:p>
    <w:p w:rsidR="00A63CF9" w:rsidRDefault="007E7E15">
      <w:pPr>
        <w:pStyle w:val="ConsPlusNormal"/>
        <w:ind w:left="141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w:t>
      </w:r>
      <w:r>
        <w:rPr>
          <w:rFonts w:ascii="Times New Roman" w:hAnsi="Times New Roman" w:cs="Times New Roman"/>
          <w:color w:val="000000" w:themeColor="text1"/>
          <w:sz w:val="28"/>
          <w:szCs w:val="28"/>
          <w:vertAlign w:val="subscript"/>
        </w:rPr>
        <w:t>ПНФ</w:t>
      </w:r>
      <w:r>
        <w:rPr>
          <w:rFonts w:ascii="Times New Roman" w:hAnsi="Times New Roman" w:cs="Times New Roman"/>
          <w:color w:val="000000" w:themeColor="text1"/>
          <w:sz w:val="28"/>
          <w:szCs w:val="28"/>
        </w:rPr>
        <w:t xml:space="preserve"> = ОС</w:t>
      </w:r>
      <w:r>
        <w:rPr>
          <w:rFonts w:ascii="Times New Roman" w:hAnsi="Times New Roman" w:cs="Times New Roman"/>
          <w:color w:val="000000" w:themeColor="text1"/>
          <w:sz w:val="28"/>
          <w:szCs w:val="28"/>
          <w:vertAlign w:val="subscript"/>
        </w:rPr>
        <w:t>АМБ</w:t>
      </w:r>
      <w:r>
        <w:rPr>
          <w:rFonts w:ascii="Times New Roman" w:hAnsi="Times New Roman" w:cs="Times New Roman"/>
          <w:color w:val="000000" w:themeColor="text1"/>
          <w:sz w:val="28"/>
          <w:szCs w:val="28"/>
        </w:rPr>
        <w:t xml:space="preserve"> - ОС</w:t>
      </w:r>
      <w:r>
        <w:rPr>
          <w:rFonts w:ascii="Times New Roman" w:hAnsi="Times New Roman" w:cs="Times New Roman"/>
          <w:color w:val="000000" w:themeColor="text1"/>
          <w:sz w:val="28"/>
          <w:szCs w:val="28"/>
          <w:vertAlign w:val="subscript"/>
        </w:rPr>
        <w:t>ФАП</w:t>
      </w:r>
      <w:r>
        <w:rPr>
          <w:rFonts w:ascii="Times New Roman" w:hAnsi="Times New Roman" w:cs="Times New Roman"/>
          <w:color w:val="000000" w:themeColor="text1"/>
          <w:sz w:val="28"/>
          <w:szCs w:val="28"/>
        </w:rPr>
        <w:t xml:space="preserve"> – ОС</w:t>
      </w:r>
      <w:r>
        <w:rPr>
          <w:rFonts w:ascii="Times New Roman" w:hAnsi="Times New Roman" w:cs="Times New Roman"/>
          <w:color w:val="000000" w:themeColor="text1"/>
          <w:sz w:val="28"/>
          <w:szCs w:val="28"/>
          <w:vertAlign w:val="subscript"/>
        </w:rPr>
        <w:t>Д(Л)И</w:t>
      </w:r>
      <w:r>
        <w:rPr>
          <w:rFonts w:ascii="Times New Roman" w:hAnsi="Times New Roman" w:cs="Times New Roman"/>
          <w:color w:val="000000" w:themeColor="text1"/>
          <w:sz w:val="28"/>
          <w:szCs w:val="28"/>
        </w:rPr>
        <w:t xml:space="preserve"> – ОС</w:t>
      </w:r>
      <w:r>
        <w:rPr>
          <w:rFonts w:ascii="Times New Roman" w:hAnsi="Times New Roman" w:cs="Times New Roman"/>
          <w:color w:val="000000" w:themeColor="text1"/>
          <w:sz w:val="28"/>
          <w:szCs w:val="28"/>
          <w:vertAlign w:val="subscript"/>
        </w:rPr>
        <w:t>ШКОЛ</w:t>
      </w:r>
      <w:r>
        <w:rPr>
          <w:rFonts w:ascii="Times New Roman" w:hAnsi="Times New Roman" w:cs="Times New Roman"/>
          <w:color w:val="000000" w:themeColor="text1"/>
          <w:sz w:val="28"/>
          <w:szCs w:val="28"/>
        </w:rPr>
        <w:t xml:space="preserve"> - ОС</w:t>
      </w:r>
      <w:r>
        <w:rPr>
          <w:rFonts w:ascii="Times New Roman" w:hAnsi="Times New Roman" w:cs="Times New Roman"/>
          <w:color w:val="000000" w:themeColor="text1"/>
          <w:sz w:val="28"/>
          <w:szCs w:val="28"/>
          <w:vertAlign w:val="subscript"/>
        </w:rPr>
        <w:t>НЕОТЛ</w:t>
      </w:r>
      <w:r>
        <w:rPr>
          <w:rFonts w:ascii="Times New Roman" w:hAnsi="Times New Roman" w:cs="Times New Roman"/>
          <w:color w:val="000000" w:themeColor="text1"/>
          <w:sz w:val="28"/>
          <w:szCs w:val="28"/>
        </w:rPr>
        <w:t xml:space="preserve"> - ОС</w:t>
      </w:r>
      <w:r>
        <w:rPr>
          <w:rFonts w:ascii="Times New Roman" w:hAnsi="Times New Roman" w:cs="Times New Roman"/>
          <w:color w:val="000000" w:themeColor="text1"/>
          <w:sz w:val="28"/>
          <w:szCs w:val="28"/>
          <w:vertAlign w:val="subscript"/>
        </w:rPr>
        <w:t>ЕО</w:t>
      </w:r>
      <w:r>
        <w:rPr>
          <w:rFonts w:ascii="Times New Roman" w:hAnsi="Times New Roman" w:cs="Times New Roman"/>
          <w:color w:val="000000" w:themeColor="text1"/>
          <w:sz w:val="28"/>
          <w:szCs w:val="28"/>
        </w:rPr>
        <w:t xml:space="preserve"> - ОС</w:t>
      </w:r>
      <w:r>
        <w:rPr>
          <w:rFonts w:ascii="Times New Roman" w:hAnsi="Times New Roman" w:cs="Times New Roman"/>
          <w:color w:val="000000" w:themeColor="text1"/>
          <w:sz w:val="28"/>
          <w:szCs w:val="28"/>
          <w:vertAlign w:val="subscript"/>
        </w:rPr>
        <w:t>ПО</w:t>
      </w:r>
      <w:r>
        <w:rPr>
          <w:rFonts w:ascii="Times New Roman" w:hAnsi="Times New Roman" w:cs="Times New Roman"/>
          <w:color w:val="000000" w:themeColor="text1"/>
          <w:sz w:val="28"/>
          <w:szCs w:val="28"/>
        </w:rPr>
        <w:t xml:space="preserve"> - ОС</w:t>
      </w:r>
      <w:r>
        <w:rPr>
          <w:rFonts w:ascii="Times New Roman" w:hAnsi="Times New Roman" w:cs="Times New Roman"/>
          <w:color w:val="000000" w:themeColor="text1"/>
          <w:sz w:val="28"/>
          <w:szCs w:val="28"/>
          <w:vertAlign w:val="subscript"/>
        </w:rPr>
        <w:t>ДИСП</w:t>
      </w:r>
      <w:r>
        <w:rPr>
          <w:rFonts w:ascii="Times New Roman" w:hAnsi="Times New Roman" w:cs="Times New Roman"/>
          <w:color w:val="000000" w:themeColor="text1"/>
          <w:sz w:val="28"/>
          <w:szCs w:val="28"/>
        </w:rPr>
        <w:t xml:space="preserve"> – ОС</w:t>
      </w:r>
      <w:r>
        <w:rPr>
          <w:rFonts w:ascii="Times New Roman" w:hAnsi="Times New Roman" w:cs="Times New Roman"/>
          <w:color w:val="000000" w:themeColor="text1"/>
          <w:sz w:val="28"/>
          <w:szCs w:val="28"/>
          <w:vertAlign w:val="subscript"/>
        </w:rPr>
        <w:t>РЕПР</w:t>
      </w:r>
      <w:r>
        <w:rPr>
          <w:rFonts w:ascii="Times New Roman" w:hAnsi="Times New Roman" w:cs="Times New Roman"/>
          <w:color w:val="000000" w:themeColor="text1"/>
          <w:sz w:val="28"/>
          <w:szCs w:val="28"/>
        </w:rPr>
        <w:t xml:space="preserve"> -ОС</w:t>
      </w:r>
      <w:r>
        <w:rPr>
          <w:rFonts w:ascii="Times New Roman" w:hAnsi="Times New Roman" w:cs="Times New Roman"/>
          <w:color w:val="000000" w:themeColor="text1"/>
          <w:sz w:val="28"/>
          <w:szCs w:val="28"/>
          <w:vertAlign w:val="subscript"/>
        </w:rPr>
        <w:t>ДН –</w:t>
      </w:r>
      <w:r>
        <w:rPr>
          <w:rFonts w:ascii="Times New Roman" w:hAnsi="Times New Roman" w:cs="Times New Roman"/>
          <w:color w:val="000000" w:themeColor="text1"/>
          <w:sz w:val="28"/>
          <w:szCs w:val="28"/>
        </w:rPr>
        <w:t xml:space="preserve"> ОС</w:t>
      </w:r>
      <w:r>
        <w:rPr>
          <w:rFonts w:ascii="Times New Roman" w:hAnsi="Times New Roman" w:cs="Times New Roman"/>
          <w:color w:val="000000" w:themeColor="text1"/>
          <w:sz w:val="28"/>
          <w:szCs w:val="28"/>
          <w:vertAlign w:val="subscript"/>
        </w:rPr>
        <w:t>ЦЗ</w:t>
      </w:r>
      <w:r>
        <w:rPr>
          <w:rFonts w:ascii="Times New Roman" w:hAnsi="Times New Roman" w:cs="Times New Roman"/>
          <w:color w:val="000000" w:themeColor="text1"/>
          <w:sz w:val="28"/>
          <w:szCs w:val="28"/>
        </w:rPr>
        <w:t xml:space="preserve"> – ОС2</w:t>
      </w:r>
      <w:r>
        <w:rPr>
          <w:rFonts w:ascii="Times New Roman" w:hAnsi="Times New Roman" w:cs="Times New Roman"/>
          <w:color w:val="000000" w:themeColor="text1"/>
          <w:sz w:val="28"/>
          <w:szCs w:val="28"/>
          <w:vertAlign w:val="subscript"/>
        </w:rPr>
        <w:t>ЭТ</w:t>
      </w:r>
      <w:r>
        <w:rPr>
          <w:rFonts w:ascii="Times New Roman" w:hAnsi="Times New Roman" w:cs="Times New Roman"/>
          <w:color w:val="000000" w:themeColor="text1"/>
          <w:sz w:val="28"/>
          <w:szCs w:val="28"/>
        </w:rPr>
        <w:t>,</w:t>
      </w:r>
    </w:p>
    <w:p w:rsidR="00A63CF9" w:rsidRDefault="007E7E1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где: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7740"/>
      </w:tblGrid>
      <w:tr w:rsidR="00A63CF9" w:rsidTr="00566265">
        <w:tc>
          <w:tcPr>
            <w:tcW w:w="1474" w:type="dxa"/>
            <w:tcBorders>
              <w:top w:val="nil"/>
              <w:left w:val="nil"/>
              <w:bottom w:val="nil"/>
              <w:right w:val="nil"/>
            </w:tcBorders>
          </w:tcPr>
          <w:p w:rsidR="00A63CF9" w:rsidRDefault="007E7E15">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w:t>
            </w:r>
            <w:r>
              <w:rPr>
                <w:rFonts w:ascii="Times New Roman" w:hAnsi="Times New Roman" w:cs="Times New Roman"/>
                <w:color w:val="000000" w:themeColor="text1"/>
                <w:sz w:val="28"/>
                <w:szCs w:val="28"/>
                <w:vertAlign w:val="subscript"/>
              </w:rPr>
              <w:t>ФАП</w:t>
            </w:r>
          </w:p>
        </w:tc>
        <w:tc>
          <w:tcPr>
            <w:tcW w:w="7740" w:type="dxa"/>
            <w:tcBorders>
              <w:top w:val="nil"/>
              <w:left w:val="nil"/>
              <w:bottom w:val="nil"/>
              <w:right w:val="nil"/>
            </w:tcBorders>
          </w:tcPr>
          <w:p w:rsidR="00A63CF9" w:rsidRDefault="007E7E15">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объем средств, направляемых на финансовое обеспечение фельдшерских здравпунктов, фельдшерско-акушерских пунктов в соответствии с установленными Территориальной программой государственных гарантий размерами финансового обеспечения фельдшерских здравпунктов, фельдшерско-акушерских пунктов (при необходимости - за исключением медицинской помощи в неотложной форме), рублей;</w:t>
            </w:r>
          </w:p>
        </w:tc>
      </w:tr>
      <w:tr w:rsidR="00A63CF9" w:rsidTr="00566265">
        <w:tc>
          <w:tcPr>
            <w:tcW w:w="1474" w:type="dxa"/>
            <w:tcBorders>
              <w:top w:val="nil"/>
              <w:left w:val="nil"/>
              <w:bottom w:val="nil"/>
              <w:right w:val="nil"/>
            </w:tcBorders>
          </w:tcPr>
          <w:p w:rsidR="00A63CF9" w:rsidRDefault="007E7E15">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w:t>
            </w:r>
            <w:r>
              <w:rPr>
                <w:rFonts w:ascii="Times New Roman" w:hAnsi="Times New Roman" w:cs="Times New Roman"/>
                <w:color w:val="000000" w:themeColor="text1"/>
                <w:sz w:val="28"/>
                <w:szCs w:val="28"/>
                <w:vertAlign w:val="subscript"/>
              </w:rPr>
              <w:t>Д(Л)И</w:t>
            </w:r>
          </w:p>
        </w:tc>
        <w:tc>
          <w:tcPr>
            <w:tcW w:w="7740" w:type="dxa"/>
            <w:tcBorders>
              <w:top w:val="nil"/>
              <w:left w:val="nil"/>
              <w:bottom w:val="nil"/>
              <w:right w:val="nil"/>
            </w:tcBorders>
          </w:tcPr>
          <w:p w:rsidR="00A63CF9" w:rsidRDefault="007E7E15">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объем средств, направляемых на оплату проведения отдельных диагностических (лабораторных) исследований, в соответствии с нормативами, установленными Территориальной программой государственных гарантий в части базовой программы, рублей;</w:t>
            </w:r>
          </w:p>
        </w:tc>
      </w:tr>
      <w:tr w:rsidR="00A63CF9" w:rsidTr="00566265">
        <w:tc>
          <w:tcPr>
            <w:tcW w:w="1474" w:type="dxa"/>
            <w:tcBorders>
              <w:top w:val="nil"/>
              <w:left w:val="nil"/>
              <w:bottom w:val="nil"/>
              <w:right w:val="nil"/>
            </w:tcBorders>
          </w:tcPr>
          <w:p w:rsidR="00A63CF9" w:rsidRDefault="007E7E15">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w:t>
            </w:r>
            <w:r>
              <w:rPr>
                <w:rFonts w:ascii="Times New Roman" w:hAnsi="Times New Roman" w:cs="Times New Roman"/>
                <w:color w:val="000000" w:themeColor="text1"/>
                <w:sz w:val="28"/>
                <w:szCs w:val="28"/>
                <w:vertAlign w:val="subscript"/>
              </w:rPr>
              <w:t>ШКОЛ</w:t>
            </w:r>
          </w:p>
        </w:tc>
        <w:tc>
          <w:tcPr>
            <w:tcW w:w="7740" w:type="dxa"/>
            <w:tcBorders>
              <w:top w:val="nil"/>
              <w:left w:val="nil"/>
              <w:bottom w:val="nil"/>
              <w:right w:val="nil"/>
            </w:tcBorders>
          </w:tcPr>
          <w:p w:rsidR="00A63CF9" w:rsidRDefault="007E7E15">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объем средств, направляемых на оплату медицинской помощи посещений при её оказании пациентам с хроническими неинфекционными заболеваниями, в том числе с сахарным диабетом, в части ведения школ, в том числе сахарного диабета в соответствии с нормативами, установленными Территориальной программой государственных гарантий в части базовой программы, рублей;</w:t>
            </w:r>
          </w:p>
        </w:tc>
      </w:tr>
      <w:tr w:rsidR="00A63CF9" w:rsidTr="00566265">
        <w:tc>
          <w:tcPr>
            <w:tcW w:w="1474" w:type="dxa"/>
            <w:tcBorders>
              <w:top w:val="nil"/>
              <w:left w:val="nil"/>
              <w:bottom w:val="nil"/>
              <w:right w:val="nil"/>
            </w:tcBorders>
          </w:tcPr>
          <w:p w:rsidR="00A63CF9" w:rsidRDefault="007E7E15">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w:t>
            </w:r>
            <w:r>
              <w:rPr>
                <w:rFonts w:ascii="Times New Roman" w:hAnsi="Times New Roman" w:cs="Times New Roman"/>
                <w:color w:val="000000" w:themeColor="text1"/>
                <w:sz w:val="28"/>
                <w:szCs w:val="28"/>
                <w:vertAlign w:val="subscript"/>
              </w:rPr>
              <w:t>НЕОТЛ</w:t>
            </w:r>
          </w:p>
        </w:tc>
        <w:tc>
          <w:tcPr>
            <w:tcW w:w="7740" w:type="dxa"/>
            <w:tcBorders>
              <w:top w:val="nil"/>
              <w:left w:val="nil"/>
              <w:bottom w:val="nil"/>
              <w:right w:val="nil"/>
            </w:tcBorders>
          </w:tcPr>
          <w:p w:rsidR="00A63CF9" w:rsidRDefault="007E7E15">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объем средств, направляемых на оплату посещений в неотложной форме в соответствии с нормативами, установленными Территориальной программой государственных гарантий в части базовой программы, рублей (используется в случае принятия Комиссией решения о финансировании медицинской помощи в неотложной форме вне подушевого норматива);</w:t>
            </w:r>
          </w:p>
        </w:tc>
      </w:tr>
      <w:tr w:rsidR="00A63CF9" w:rsidTr="00566265">
        <w:tc>
          <w:tcPr>
            <w:tcW w:w="1474" w:type="dxa"/>
            <w:tcBorders>
              <w:top w:val="nil"/>
              <w:left w:val="nil"/>
              <w:bottom w:val="nil"/>
              <w:right w:val="nil"/>
            </w:tcBorders>
          </w:tcPr>
          <w:p w:rsidR="00A63CF9" w:rsidRDefault="007E7E15">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w:t>
            </w:r>
            <w:r>
              <w:rPr>
                <w:rFonts w:ascii="Times New Roman" w:hAnsi="Times New Roman" w:cs="Times New Roman"/>
                <w:color w:val="000000" w:themeColor="text1"/>
                <w:sz w:val="28"/>
                <w:szCs w:val="28"/>
                <w:vertAlign w:val="subscript"/>
              </w:rPr>
              <w:t>ЕО</w:t>
            </w:r>
          </w:p>
        </w:tc>
        <w:tc>
          <w:tcPr>
            <w:tcW w:w="7740" w:type="dxa"/>
            <w:tcBorders>
              <w:top w:val="nil"/>
              <w:left w:val="nil"/>
              <w:bottom w:val="nil"/>
              <w:right w:val="nil"/>
            </w:tcBorders>
          </w:tcPr>
          <w:p w:rsidR="00A63CF9" w:rsidRDefault="007E7E15">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объем средств, направляемых на оплату медицинской помощи, оказываемой в амбулаторных условиях за единицу объема медицинской помощи застрахованным в Иркутской области лицам (в том числе комплексных посещений по профилю "Медицинская реабилитация"</w:t>
            </w:r>
            <w:proofErr w:type="gramStart"/>
            <w:r>
              <w:rPr>
                <w:rFonts w:ascii="Times New Roman" w:hAnsi="Times New Roman" w:cs="Times New Roman"/>
                <w:color w:val="000000" w:themeColor="text1"/>
                <w:sz w:val="28"/>
                <w:szCs w:val="28"/>
              </w:rPr>
              <w:t>),  рублей</w:t>
            </w:r>
            <w:proofErr w:type="gramEnd"/>
            <w:r>
              <w:rPr>
                <w:rFonts w:ascii="Times New Roman" w:hAnsi="Times New Roman" w:cs="Times New Roman"/>
                <w:color w:val="000000" w:themeColor="text1"/>
                <w:sz w:val="28"/>
                <w:szCs w:val="28"/>
              </w:rPr>
              <w:t>;</w:t>
            </w:r>
          </w:p>
          <w:p w:rsidR="00A63CF9" w:rsidRDefault="007E7E15">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tc>
      </w:tr>
      <w:tr w:rsidR="00A63CF9" w:rsidTr="00566265">
        <w:tc>
          <w:tcPr>
            <w:tcW w:w="1474" w:type="dxa"/>
            <w:tcBorders>
              <w:top w:val="nil"/>
              <w:left w:val="nil"/>
              <w:bottom w:val="nil"/>
              <w:right w:val="nil"/>
            </w:tcBorders>
          </w:tcPr>
          <w:p w:rsidR="00A63CF9" w:rsidRDefault="007E7E15">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w:t>
            </w:r>
            <w:r>
              <w:rPr>
                <w:rFonts w:ascii="Times New Roman" w:hAnsi="Times New Roman" w:cs="Times New Roman"/>
                <w:color w:val="000000" w:themeColor="text1"/>
                <w:sz w:val="28"/>
                <w:szCs w:val="28"/>
                <w:vertAlign w:val="subscript"/>
              </w:rPr>
              <w:t>ПО</w:t>
            </w:r>
          </w:p>
        </w:tc>
        <w:tc>
          <w:tcPr>
            <w:tcW w:w="7740" w:type="dxa"/>
            <w:tcBorders>
              <w:top w:val="nil"/>
              <w:left w:val="nil"/>
              <w:bottom w:val="nil"/>
              <w:right w:val="nil"/>
            </w:tcBorders>
          </w:tcPr>
          <w:p w:rsidR="00A63CF9" w:rsidRDefault="007E7E15">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объем средств, направляемых на оплату проведения профилактических медицинских осмотров в соответствии с нормативами, установленными Территориальной программой государственных гарантий в части базовой программы, рублей;</w:t>
            </w:r>
          </w:p>
        </w:tc>
      </w:tr>
      <w:tr w:rsidR="00A63CF9" w:rsidTr="00566265">
        <w:tc>
          <w:tcPr>
            <w:tcW w:w="1474" w:type="dxa"/>
            <w:tcBorders>
              <w:top w:val="nil"/>
              <w:left w:val="nil"/>
              <w:bottom w:val="nil"/>
              <w:right w:val="nil"/>
            </w:tcBorders>
          </w:tcPr>
          <w:p w:rsidR="00A63CF9" w:rsidRDefault="007E7E15">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w:t>
            </w:r>
            <w:r>
              <w:rPr>
                <w:rFonts w:ascii="Times New Roman" w:hAnsi="Times New Roman" w:cs="Times New Roman"/>
                <w:color w:val="000000" w:themeColor="text1"/>
                <w:sz w:val="28"/>
                <w:szCs w:val="28"/>
                <w:vertAlign w:val="subscript"/>
              </w:rPr>
              <w:t>ДИСП</w:t>
            </w:r>
          </w:p>
        </w:tc>
        <w:tc>
          <w:tcPr>
            <w:tcW w:w="7740" w:type="dxa"/>
            <w:tcBorders>
              <w:top w:val="nil"/>
              <w:left w:val="nil"/>
              <w:bottom w:val="nil"/>
              <w:right w:val="nil"/>
            </w:tcBorders>
          </w:tcPr>
          <w:p w:rsidR="00A63CF9" w:rsidRDefault="007E7E15">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объем средств, направляемых на оплату проведения диспансеризации, включающей профилактический медицинский осмотр и дополнительные методы обследований (в том числе углубленной диспансеризации), в соответствии с нормативами, установленным Территориальной программой государственных гарантий в части базовой программы, рублей;</w:t>
            </w:r>
          </w:p>
        </w:tc>
      </w:tr>
      <w:tr w:rsidR="00A63CF9" w:rsidTr="00566265">
        <w:tc>
          <w:tcPr>
            <w:tcW w:w="1474" w:type="dxa"/>
            <w:tcBorders>
              <w:top w:val="nil"/>
              <w:left w:val="nil"/>
              <w:bottom w:val="nil"/>
              <w:right w:val="nil"/>
            </w:tcBorders>
          </w:tcPr>
          <w:p w:rsidR="00A63CF9" w:rsidRDefault="007E7E15">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w:t>
            </w:r>
            <w:r>
              <w:rPr>
                <w:rFonts w:ascii="Times New Roman" w:hAnsi="Times New Roman" w:cs="Times New Roman"/>
                <w:color w:val="000000" w:themeColor="text1"/>
                <w:sz w:val="28"/>
                <w:szCs w:val="28"/>
                <w:vertAlign w:val="subscript"/>
              </w:rPr>
              <w:t>РЕПР</w:t>
            </w:r>
          </w:p>
        </w:tc>
        <w:tc>
          <w:tcPr>
            <w:tcW w:w="7740" w:type="dxa"/>
            <w:tcBorders>
              <w:top w:val="nil"/>
              <w:left w:val="nil"/>
              <w:bottom w:val="nil"/>
              <w:right w:val="nil"/>
            </w:tcBorders>
          </w:tcPr>
          <w:p w:rsidR="00A63CF9" w:rsidRDefault="007E7E15">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объем средств, направляемых на оплату проведения диспансеризации для оценки репродуктивного здоровья женщин и мужчин, в соответствии с нормативами, установленным Территориальной программой государственных гарантий в части базовой программы, рублей;</w:t>
            </w:r>
          </w:p>
        </w:tc>
      </w:tr>
      <w:tr w:rsidR="00A63CF9" w:rsidTr="00566265">
        <w:tc>
          <w:tcPr>
            <w:tcW w:w="1474" w:type="dxa"/>
            <w:tcBorders>
              <w:top w:val="nil"/>
              <w:left w:val="nil"/>
              <w:bottom w:val="nil"/>
              <w:right w:val="nil"/>
            </w:tcBorders>
          </w:tcPr>
          <w:p w:rsidR="00A63CF9" w:rsidRDefault="007E7E15">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w:t>
            </w:r>
            <w:r>
              <w:rPr>
                <w:rFonts w:ascii="Times New Roman" w:hAnsi="Times New Roman" w:cs="Times New Roman"/>
                <w:color w:val="000000" w:themeColor="text1"/>
                <w:sz w:val="28"/>
                <w:szCs w:val="28"/>
                <w:vertAlign w:val="subscript"/>
              </w:rPr>
              <w:t>ДН</w:t>
            </w:r>
          </w:p>
        </w:tc>
        <w:tc>
          <w:tcPr>
            <w:tcW w:w="7740" w:type="dxa"/>
            <w:tcBorders>
              <w:top w:val="nil"/>
              <w:left w:val="nil"/>
              <w:bottom w:val="nil"/>
              <w:right w:val="nil"/>
            </w:tcBorders>
          </w:tcPr>
          <w:p w:rsidR="00A63CF9" w:rsidRDefault="007E7E15">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объем средств, направляемых на оплату проведения диспансерного наблюдения, включая диспансерное наблюдение работающих граждан, в том числе центрами здоровья, в соответствии с нормативами, установленными Территориальной программой государственных гарантий в части базовой программы, рублей.»</w:t>
            </w:r>
          </w:p>
        </w:tc>
      </w:tr>
    </w:tbl>
    <w:p w:rsidR="00A63CF9" w:rsidRDefault="007E7E15">
      <w:pPr>
        <w:rPr>
          <w:color w:val="000000" w:themeColor="text1"/>
        </w:rPr>
      </w:pPr>
      <w:r>
        <w:rPr>
          <w:color w:val="000000" w:themeColor="text1"/>
        </w:rPr>
        <w:t xml:space="preserve">   </w:t>
      </w:r>
    </w:p>
    <w:p w:rsidR="00A63CF9" w:rsidRDefault="007E7E15">
      <w:pPr>
        <w:pStyle w:val="a9"/>
        <w:numPr>
          <w:ilvl w:val="0"/>
          <w:numId w:val="5"/>
        </w:numPr>
        <w:spacing w:after="160" w:line="259" w:lineRule="auto"/>
        <w:ind w:left="142" w:firstLine="566"/>
        <w:rPr>
          <w:color w:val="000000" w:themeColor="text1"/>
          <w:sz w:val="28"/>
          <w:szCs w:val="28"/>
        </w:rPr>
      </w:pPr>
      <w:r>
        <w:rPr>
          <w:color w:val="000000" w:themeColor="text1"/>
          <w:sz w:val="28"/>
          <w:szCs w:val="28"/>
        </w:rPr>
        <w:t xml:space="preserve">Пункт 6 Главы 1 Раздела 2 Тарифного соглашения после абзаца 11 </w:t>
      </w:r>
      <w:r w:rsidR="00A937CC">
        <w:rPr>
          <w:color w:val="000000" w:themeColor="text1"/>
          <w:sz w:val="28"/>
          <w:szCs w:val="28"/>
        </w:rPr>
        <w:t>дополнить</w:t>
      </w:r>
      <w:r>
        <w:rPr>
          <w:color w:val="000000" w:themeColor="text1"/>
          <w:sz w:val="28"/>
          <w:szCs w:val="28"/>
        </w:rPr>
        <w:t xml:space="preserve"> абзацем следующего содержания:</w:t>
      </w:r>
    </w:p>
    <w:p w:rsidR="00A63CF9" w:rsidRDefault="00A63CF9">
      <w:pPr>
        <w:ind w:left="160" w:right="64"/>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63"/>
        <w:gridCol w:w="7509"/>
      </w:tblGrid>
      <w:tr w:rsidR="00A63CF9" w:rsidTr="00566265">
        <w:trPr>
          <w:trHeight w:val="1636"/>
        </w:trPr>
        <w:tc>
          <w:tcPr>
            <w:tcW w:w="1563" w:type="dxa"/>
            <w:tcBorders>
              <w:top w:val="nil"/>
              <w:left w:val="nil"/>
              <w:bottom w:val="nil"/>
              <w:right w:val="nil"/>
            </w:tcBorders>
          </w:tcPr>
          <w:p w:rsidR="00A63CF9" w:rsidRDefault="007E7E15">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Чз</w:t>
            </w:r>
            <w:proofErr w:type="spellEnd"/>
          </w:p>
        </w:tc>
        <w:tc>
          <w:tcPr>
            <w:tcW w:w="7509" w:type="dxa"/>
            <w:tcBorders>
              <w:top w:val="nil"/>
              <w:left w:val="nil"/>
              <w:bottom w:val="nil"/>
              <w:right w:val="nil"/>
            </w:tcBorders>
          </w:tcPr>
          <w:p w:rsidR="00A63CF9" w:rsidRDefault="007E7E15">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Численность застрахованного населения, прикрепленного к медицинским организациям, оплата медицинской помощи в которых осуществляется по подушевому нормативу финансирования на прикрепившихся лиц, человек.»</w:t>
            </w:r>
          </w:p>
          <w:p w:rsidR="00A63CF9" w:rsidRDefault="00A63CF9">
            <w:pPr>
              <w:pStyle w:val="ConsPlusNormal"/>
              <w:jc w:val="both"/>
              <w:rPr>
                <w:rFonts w:ascii="Times New Roman" w:hAnsi="Times New Roman" w:cs="Times New Roman"/>
                <w:color w:val="000000" w:themeColor="text1"/>
                <w:sz w:val="28"/>
                <w:szCs w:val="28"/>
              </w:rPr>
            </w:pPr>
          </w:p>
        </w:tc>
      </w:tr>
    </w:tbl>
    <w:p w:rsidR="00A63CF9" w:rsidRDefault="007E7E15">
      <w:pPr>
        <w:pStyle w:val="ConsPlusNormal"/>
        <w:numPr>
          <w:ilvl w:val="0"/>
          <w:numId w:val="5"/>
        </w:numPr>
        <w:spacing w:before="2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 7 Главы 1 Раздела 2 Тарифного соглашения дополнить абзацем следующего содержания:</w:t>
      </w:r>
    </w:p>
    <w:p w:rsidR="00A63CF9" w:rsidRDefault="007E7E15">
      <w:pPr>
        <w:pStyle w:val="ConsPlusNormal"/>
        <w:spacing w:before="2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При расчете половозрастных коэффициентов дифференциации и коэффициентов половозрастного состава используются сведения о численности застрахованного населения, прикрепленного к медицинским организациям, оплата медицинской помощи в которых осуществляется по подушевому нормативу финансирования на прикрепившихся лиц.»</w:t>
      </w:r>
    </w:p>
    <w:p w:rsidR="00A63CF9" w:rsidRDefault="007E7E15">
      <w:pPr>
        <w:pStyle w:val="ConsPlusNormal"/>
        <w:numPr>
          <w:ilvl w:val="0"/>
          <w:numId w:val="5"/>
        </w:numPr>
        <w:spacing w:before="220"/>
        <w:ind w:left="142"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 11 Главы 1 Раздела 2 Тарифного соглашения изложить в новой редакции:</w:t>
      </w:r>
    </w:p>
    <w:p w:rsidR="00A63CF9" w:rsidRDefault="007E7E15">
      <w:pPr>
        <w:pStyle w:val="ConsPlusNormal"/>
        <w:spacing w:before="220"/>
        <w:ind w:left="160" w:firstLine="3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11. При оказании первичной медико-санитарной помощи в амбулаторных условиях, в рамках выполнения порядков оказания медицинской помощи и стандартов медицинской помощи взаимные расчеты могут осуществляться медицинскими организациями (на основании заключенных между ними договоров) и страховыми медицинскими организациями в соответствии с настоящим Тарифным соглашением.</w:t>
      </w:r>
    </w:p>
    <w:p w:rsidR="00A63CF9" w:rsidRDefault="007E7E15">
      <w:pPr>
        <w:ind w:left="160" w:right="64" w:firstLine="548"/>
        <w:jc w:val="both"/>
        <w:rPr>
          <w:color w:val="000000" w:themeColor="text1"/>
          <w:sz w:val="28"/>
          <w:szCs w:val="28"/>
        </w:rPr>
      </w:pPr>
      <w:r>
        <w:rPr>
          <w:color w:val="000000" w:themeColor="text1"/>
          <w:sz w:val="28"/>
          <w:szCs w:val="28"/>
        </w:rPr>
        <w:t>В случае, если взаиморасчеты осуществляются с участием страховых медицинских организаций:</w:t>
      </w:r>
    </w:p>
    <w:p w:rsidR="00A63CF9" w:rsidRDefault="007E7E15">
      <w:pPr>
        <w:ind w:left="160" w:right="64" w:firstLine="548"/>
        <w:jc w:val="both"/>
        <w:rPr>
          <w:color w:val="000000" w:themeColor="text1"/>
          <w:sz w:val="28"/>
          <w:szCs w:val="28"/>
        </w:rPr>
      </w:pPr>
      <w:r>
        <w:rPr>
          <w:color w:val="000000" w:themeColor="text1"/>
          <w:sz w:val="28"/>
          <w:szCs w:val="28"/>
        </w:rPr>
        <w:t xml:space="preserve">- при оказании медицинской помощи </w:t>
      </w:r>
      <w:r>
        <w:rPr>
          <w:rFonts w:eastAsiaTheme="minorEastAsia"/>
          <w:color w:val="000000" w:themeColor="text1"/>
          <w:sz w:val="28"/>
          <w:szCs w:val="28"/>
        </w:rPr>
        <w:t xml:space="preserve">застрахованному лицу, прикрепленному к иной </w:t>
      </w:r>
      <w:r>
        <w:rPr>
          <w:color w:val="000000" w:themeColor="text1"/>
          <w:sz w:val="28"/>
          <w:szCs w:val="28"/>
        </w:rPr>
        <w:t xml:space="preserve">медицинской организации, составляется реестр счетов по установленным тарифам с указанием информации о медицинской организации, выдавшей направление. Страховые медицинские организации осуществляют оплату медицинской помощи на основании представленных реестров счетов и счетов на оплату медицинской помощи, согласованных между медицинскими организациями, что подтверждается подписями руководителей (уполномоченных лиц) медицинских организаций на документе согласования; </w:t>
      </w:r>
    </w:p>
    <w:p w:rsidR="00A63CF9" w:rsidRDefault="007E7E15">
      <w:pPr>
        <w:ind w:left="160" w:right="64" w:firstLine="708"/>
        <w:jc w:val="both"/>
        <w:rPr>
          <w:color w:val="000000" w:themeColor="text1"/>
          <w:sz w:val="28"/>
          <w:szCs w:val="28"/>
        </w:rPr>
      </w:pPr>
      <w:r>
        <w:rPr>
          <w:rFonts w:eastAsiaTheme="minorEastAsia"/>
          <w:color w:val="000000" w:themeColor="text1"/>
          <w:sz w:val="28"/>
          <w:szCs w:val="28"/>
        </w:rPr>
        <w:t xml:space="preserve">- </w:t>
      </w:r>
      <w:r>
        <w:rPr>
          <w:color w:val="000000" w:themeColor="text1"/>
          <w:sz w:val="28"/>
          <w:szCs w:val="28"/>
        </w:rPr>
        <w:t xml:space="preserve">при оказании неотложной и экстренной медицинской помощи </w:t>
      </w:r>
      <w:r>
        <w:rPr>
          <w:rFonts w:eastAsiaTheme="minorEastAsia"/>
          <w:color w:val="000000" w:themeColor="text1"/>
          <w:sz w:val="28"/>
          <w:szCs w:val="28"/>
        </w:rPr>
        <w:t>застрахованному лицу</w:t>
      </w:r>
      <w:r>
        <w:rPr>
          <w:color w:val="000000" w:themeColor="text1"/>
          <w:sz w:val="28"/>
          <w:szCs w:val="28"/>
        </w:rPr>
        <w:t xml:space="preserve">, прикрепленному к иной медицинской организации, медицинской организацией, включенной в Перечень медицинских организаций, оказывающих медицинскую помощь в амбулаторных, стационарных условиях, в условиях дневного стационара, имеющих прикрепившихся лиц, оплата медицинской помощи в которых осуществляется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составляется реестр счетов по установленным тарифам с указанием информации о медицинской организации, к которой прикреплено </w:t>
      </w:r>
      <w:r>
        <w:rPr>
          <w:rFonts w:eastAsiaTheme="minorEastAsia"/>
          <w:color w:val="000000" w:themeColor="text1"/>
          <w:sz w:val="28"/>
          <w:szCs w:val="28"/>
        </w:rPr>
        <w:t>застрахованное лицо</w:t>
      </w:r>
      <w:r>
        <w:rPr>
          <w:color w:val="000000" w:themeColor="text1"/>
          <w:sz w:val="28"/>
          <w:szCs w:val="28"/>
        </w:rPr>
        <w:t>. Страховые медицинские организации осуществляют оплату медицинской помощи на основании представленных реестров счетов и счетов на оплату медицинской</w:t>
      </w:r>
      <w:r w:rsidR="00A937CC">
        <w:rPr>
          <w:color w:val="000000" w:themeColor="text1"/>
          <w:sz w:val="28"/>
          <w:szCs w:val="28"/>
        </w:rPr>
        <w:t xml:space="preserve"> помощи</w:t>
      </w:r>
      <w:r>
        <w:rPr>
          <w:color w:val="000000" w:themeColor="text1"/>
          <w:sz w:val="28"/>
          <w:szCs w:val="28"/>
        </w:rPr>
        <w:t xml:space="preserve">; </w:t>
      </w:r>
    </w:p>
    <w:p w:rsidR="00A63CF9" w:rsidRDefault="007E7E15">
      <w:pPr>
        <w:ind w:left="160" w:right="64" w:firstLine="548"/>
        <w:jc w:val="both"/>
        <w:rPr>
          <w:color w:val="000000" w:themeColor="text1"/>
          <w:sz w:val="28"/>
          <w:szCs w:val="28"/>
        </w:rPr>
      </w:pPr>
      <w:r>
        <w:rPr>
          <w:color w:val="000000" w:themeColor="text1"/>
          <w:sz w:val="28"/>
          <w:szCs w:val="28"/>
        </w:rPr>
        <w:t xml:space="preserve">- при оказании медицинской помощи с применением телемедицинских технологий </w:t>
      </w:r>
      <w:r>
        <w:rPr>
          <w:rFonts w:eastAsiaTheme="minorEastAsia"/>
          <w:color w:val="000000" w:themeColor="text1"/>
          <w:sz w:val="28"/>
          <w:szCs w:val="28"/>
        </w:rPr>
        <w:t>застрахованному лицу</w:t>
      </w:r>
      <w:r>
        <w:rPr>
          <w:color w:val="000000" w:themeColor="text1"/>
          <w:sz w:val="28"/>
          <w:szCs w:val="28"/>
        </w:rPr>
        <w:t>, прикрепленному к иной медицинской организации, составляется реестр счетов по установленным тарифам с указанием информации о медицинской организации, к которой прикреплено застрахованное лицо. Страховые медицинские организации осуществляют оплату медицинской помощи на основании представленных реестров счетов и счетов на оплату медицинской помощи, согласованных между медицинскими организациями, что подтверждается подписями руководителей (уполномоченных лиц) медицинских организаций на документе согласования.</w:t>
      </w:r>
    </w:p>
    <w:p w:rsidR="00A63CF9" w:rsidRDefault="007E7E15">
      <w:pPr>
        <w:ind w:left="160" w:right="64" w:firstLine="548"/>
        <w:contextualSpacing/>
        <w:jc w:val="both"/>
        <w:rPr>
          <w:color w:val="000000" w:themeColor="text1"/>
          <w:sz w:val="28"/>
          <w:szCs w:val="28"/>
        </w:rPr>
      </w:pPr>
      <w:r>
        <w:rPr>
          <w:color w:val="000000" w:themeColor="text1"/>
          <w:sz w:val="28"/>
          <w:szCs w:val="28"/>
        </w:rPr>
        <w:t xml:space="preserve">При осуществлении окончательного расчета за медицинскую помощь и авансирования оплаты медицинской помощи сумма средств для медицинской организации уменьшается на объем средств, перечисленных другой медицинской организации за оказанную медицинскую помощь. </w:t>
      </w:r>
    </w:p>
    <w:p w:rsidR="00A63CF9" w:rsidRDefault="007E7E15">
      <w:pPr>
        <w:ind w:left="160" w:right="64" w:firstLine="548"/>
        <w:contextualSpacing/>
        <w:jc w:val="both"/>
        <w:rPr>
          <w:color w:val="000000" w:themeColor="text1"/>
          <w:sz w:val="28"/>
          <w:szCs w:val="28"/>
        </w:rPr>
      </w:pPr>
      <w:r>
        <w:rPr>
          <w:color w:val="000000" w:themeColor="text1"/>
          <w:sz w:val="28"/>
          <w:szCs w:val="28"/>
        </w:rPr>
        <w:t>При этом страховая медицинская организация ежемесячно извещает медицинские организации о размере перечисленных средств, уменьшенных в рамках взаиморасчетов.»</w:t>
      </w:r>
    </w:p>
    <w:p w:rsidR="00A63CF9" w:rsidRDefault="00A63CF9">
      <w:pPr>
        <w:ind w:left="160" w:right="64" w:firstLine="548"/>
        <w:contextualSpacing/>
        <w:jc w:val="both"/>
        <w:rPr>
          <w:color w:val="000000" w:themeColor="text1"/>
          <w:sz w:val="28"/>
          <w:szCs w:val="28"/>
        </w:rPr>
      </w:pPr>
    </w:p>
    <w:p w:rsidR="00A63CF9" w:rsidRDefault="007E7E15">
      <w:pPr>
        <w:pStyle w:val="a9"/>
        <w:numPr>
          <w:ilvl w:val="0"/>
          <w:numId w:val="5"/>
        </w:numPr>
        <w:ind w:left="0" w:right="64" w:firstLine="709"/>
        <w:jc w:val="both"/>
        <w:rPr>
          <w:color w:val="000000" w:themeColor="text1"/>
          <w:sz w:val="28"/>
          <w:szCs w:val="28"/>
        </w:rPr>
      </w:pPr>
      <w:r>
        <w:rPr>
          <w:color w:val="000000" w:themeColor="text1"/>
          <w:sz w:val="28"/>
          <w:szCs w:val="28"/>
        </w:rPr>
        <w:t>Абзац 8 Пункта 12.1 Главы 1 Раздела 2 Тарифного соглашения изложить в новой редакции:</w:t>
      </w:r>
    </w:p>
    <w:p w:rsidR="00A63CF9" w:rsidRDefault="007E7E15">
      <w:pPr>
        <w:pStyle w:val="ConsPlusNormal"/>
        <w:spacing w:before="220"/>
        <w:ind w:firstLine="540"/>
        <w:jc w:val="both"/>
        <w:rPr>
          <w:rFonts w:ascii="Times New Roman" w:hAnsi="Times New Roman" w:cs="Times New Roman"/>
          <w:color w:val="000000" w:themeColor="text1"/>
          <w:sz w:val="28"/>
          <w:szCs w:val="28"/>
        </w:rPr>
      </w:pPr>
      <w:r>
        <w:rPr>
          <w:color w:val="000000" w:themeColor="text1"/>
          <w:sz w:val="28"/>
          <w:szCs w:val="28"/>
        </w:rPr>
        <w:t>«</w:t>
      </w:r>
      <w:r>
        <w:rPr>
          <w:rFonts w:ascii="Times New Roman" w:hAnsi="Times New Roman" w:cs="Times New Roman"/>
          <w:color w:val="000000" w:themeColor="text1"/>
          <w:sz w:val="28"/>
          <w:szCs w:val="28"/>
        </w:rPr>
        <w:t>В случае обслуживания фельдшерскими здравпунктами, фельдшерско-акушерскими пунктами женщин репродуктивного возраста (женщин в возрасте от 18 до 49 лет включительно), но при отсутствии в пунктах акушеров, отдельные полномочия по работе с такими женщинами могут быть возложены на фельдшера или медицинскую сестру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Таким образом, при расчете размера финансового обеспечения фельдшерских здравпунктов, фельдшерско-акушерских пунктов, в том числе пунктов, рекомендуемые штатные нормативы которых не предусматривают должность «Акушерка» (например, для фельдшерских здравпунктов, фельдшерско-акушерских пунктов, обслуживающих от 101 до 900 жителей),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таких женщин в численности прикрепленного населения.»</w:t>
      </w:r>
    </w:p>
    <w:p w:rsidR="00A63CF9" w:rsidRDefault="00A63CF9">
      <w:pPr>
        <w:pStyle w:val="a5"/>
        <w:ind w:right="142" w:firstLine="708"/>
        <w:jc w:val="both"/>
        <w:rPr>
          <w:color w:val="000000" w:themeColor="text1"/>
          <w:sz w:val="28"/>
          <w:szCs w:val="28"/>
        </w:rPr>
      </w:pPr>
    </w:p>
    <w:p w:rsidR="00A63CF9" w:rsidRDefault="007E7E15">
      <w:pPr>
        <w:pStyle w:val="a5"/>
        <w:numPr>
          <w:ilvl w:val="0"/>
          <w:numId w:val="5"/>
        </w:numPr>
        <w:ind w:left="0" w:right="142" w:firstLine="709"/>
        <w:jc w:val="both"/>
        <w:rPr>
          <w:color w:val="000000" w:themeColor="text1"/>
          <w:sz w:val="28"/>
          <w:szCs w:val="28"/>
        </w:rPr>
      </w:pPr>
      <w:r>
        <w:rPr>
          <w:color w:val="000000" w:themeColor="text1"/>
          <w:sz w:val="28"/>
          <w:szCs w:val="28"/>
        </w:rPr>
        <w:t>Абзац 2 Пункта 7 Главы 2 Раздела 2 Тарифного соглашения изложить в новой редакции:</w:t>
      </w:r>
    </w:p>
    <w:p w:rsidR="00A63CF9" w:rsidRDefault="007E7E15">
      <w:pPr>
        <w:pStyle w:val="a5"/>
        <w:ind w:right="142"/>
        <w:jc w:val="both"/>
        <w:rPr>
          <w:color w:val="000000" w:themeColor="text1"/>
          <w:sz w:val="28"/>
          <w:szCs w:val="28"/>
        </w:rPr>
      </w:pPr>
      <w:r>
        <w:rPr>
          <w:color w:val="000000" w:themeColor="text1"/>
          <w:sz w:val="28"/>
          <w:szCs w:val="28"/>
        </w:rPr>
        <w:t>«</w:t>
      </w:r>
      <w:r>
        <w:rPr>
          <w:color w:val="000000" w:themeColor="text1"/>
          <w:sz w:val="28"/>
          <w:szCs w:val="28"/>
        </w:rPr>
        <w:tab/>
        <w:t xml:space="preserve">Если пациенту в момент оказания высокотехнологичной медицинской помощи по профилям «неонатология», «детская хирургия в период новорожденности», «офтальмология», «сердечно-сосудистая хирургия», «педиатрия», «торакальная хирургия» определяются показания к проведению иммунизации против респираторно-синцитиальной вирусной (РСВ) инфекции, то данный случай оплачивается по двум (нескольким) тарифам: в рамках высокотехнологичной медицинской помощи по соответствующему нормативу (среднему нормативу) финансовых затрат на единицу объема медицинской помощи и по соответствующей КСГ в рамках специализированной медицинской помощи. Кратность применения КСГ «Проведение иммунизации против респираторно-синцитиальной вирусной инфекции» должна соответствовать количеству введений </w:t>
      </w:r>
      <w:proofErr w:type="spellStart"/>
      <w:r>
        <w:rPr>
          <w:color w:val="000000" w:themeColor="text1"/>
          <w:sz w:val="28"/>
          <w:szCs w:val="28"/>
        </w:rPr>
        <w:t>паливизумаба</w:t>
      </w:r>
      <w:proofErr w:type="spellEnd"/>
      <w:r>
        <w:rPr>
          <w:color w:val="000000" w:themeColor="text1"/>
          <w:sz w:val="28"/>
          <w:szCs w:val="28"/>
        </w:rPr>
        <w:t xml:space="preserve"> для проведения иммунизации за весь период госпитализации.»</w:t>
      </w:r>
    </w:p>
    <w:p w:rsidR="00A63CF9" w:rsidRDefault="00A63CF9">
      <w:pPr>
        <w:pStyle w:val="a5"/>
        <w:ind w:right="142"/>
        <w:jc w:val="both"/>
        <w:rPr>
          <w:color w:val="000000" w:themeColor="text1"/>
          <w:sz w:val="28"/>
          <w:szCs w:val="28"/>
        </w:rPr>
      </w:pPr>
    </w:p>
    <w:p w:rsidR="00A63CF9" w:rsidRDefault="007E7E15">
      <w:pPr>
        <w:pStyle w:val="ConsPlusNormal"/>
        <w:numPr>
          <w:ilvl w:val="0"/>
          <w:numId w:val="5"/>
        </w:numPr>
        <w:tabs>
          <w:tab w:val="left" w:pos="993"/>
        </w:tabs>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Абзац 2 Пункта 7 Главы 3 Раздела 2 Тарифного соглашения изложить в новой редакции:</w:t>
      </w:r>
    </w:p>
    <w:p w:rsidR="00A63CF9" w:rsidRDefault="00A63CF9">
      <w:pPr>
        <w:pStyle w:val="ConsPlusNormal"/>
        <w:ind w:left="567"/>
        <w:jc w:val="both"/>
        <w:rPr>
          <w:rFonts w:ascii="Times New Roman" w:hAnsi="Times New Roman" w:cs="Times New Roman"/>
          <w:color w:val="000000" w:themeColor="text1"/>
          <w:sz w:val="28"/>
          <w:szCs w:val="28"/>
        </w:rPr>
      </w:pPr>
    </w:p>
    <w:p w:rsidR="00A63CF9" w:rsidRDefault="007E7E15">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 xml:space="preserve">Если пациенту в момент оказания высокотехнологичной медицинской помощи по профилям «неонатология», «детская хирургия в период новорожденности», «офтальмология», «сердечно-сосудистая хирургия», «педиатрия», «торакальная хирургия» определяются показания к проведению иммунизации против респираторно-синцитиальной вирусной (РСВ) инфекции, то данный случай оплачивается по двум (нескольким) тарифам: в рамках высокотехнологичной медицинской помощи по соответствующему нормативу (среднему нормативу) финансовых затрат на единицу объема медицинской помощи и по соответствующей КСГ в рамках специализированной медицинской помощи. Кратность применения КСГ «Проведение иммунизации против респираторно-синцитиальной вирусной инфекции» должна соответствовать количеству введений </w:t>
      </w:r>
      <w:proofErr w:type="spellStart"/>
      <w:r>
        <w:rPr>
          <w:rFonts w:ascii="Times New Roman" w:hAnsi="Times New Roman" w:cs="Times New Roman"/>
          <w:color w:val="000000" w:themeColor="text1"/>
          <w:sz w:val="28"/>
          <w:szCs w:val="28"/>
        </w:rPr>
        <w:t>паливизумаба</w:t>
      </w:r>
      <w:proofErr w:type="spellEnd"/>
      <w:r>
        <w:rPr>
          <w:rFonts w:ascii="Times New Roman" w:hAnsi="Times New Roman" w:cs="Times New Roman"/>
          <w:color w:val="000000" w:themeColor="text1"/>
          <w:sz w:val="28"/>
          <w:szCs w:val="28"/>
        </w:rPr>
        <w:t xml:space="preserve"> для проведения иммунизации за весь период госпитализации.»</w:t>
      </w:r>
    </w:p>
    <w:p w:rsidR="00A63CF9" w:rsidRDefault="00A63CF9">
      <w:pPr>
        <w:pStyle w:val="a5"/>
        <w:ind w:left="567" w:right="142"/>
        <w:jc w:val="both"/>
        <w:rPr>
          <w:sz w:val="28"/>
          <w:szCs w:val="28"/>
        </w:rPr>
      </w:pPr>
    </w:p>
    <w:p w:rsidR="00A63CF9" w:rsidRDefault="007E7E15" w:rsidP="00566265">
      <w:pPr>
        <w:pStyle w:val="a5"/>
        <w:numPr>
          <w:ilvl w:val="0"/>
          <w:numId w:val="5"/>
        </w:numPr>
        <w:jc w:val="both"/>
        <w:rPr>
          <w:sz w:val="28"/>
          <w:szCs w:val="28"/>
        </w:rPr>
      </w:pPr>
      <w:r>
        <w:rPr>
          <w:sz w:val="28"/>
          <w:szCs w:val="28"/>
        </w:rPr>
        <w:t>Пункт 2 Главы 1 Раздела 3 Тарифного соглашения изложить в новой редакции:</w:t>
      </w:r>
    </w:p>
    <w:p w:rsidR="00A63CF9" w:rsidRDefault="007E7E15" w:rsidP="00566265">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 Значение базового (среднего) подушевого норматива финансирования на прикрепившихся лиц составляет </w:t>
      </w:r>
      <w:r w:rsidR="00611FD0">
        <w:rPr>
          <w:rFonts w:ascii="Times New Roman" w:hAnsi="Times New Roman" w:cs="Times New Roman"/>
          <w:sz w:val="28"/>
          <w:szCs w:val="28"/>
        </w:rPr>
        <w:t>197,72</w:t>
      </w:r>
      <w:r>
        <w:rPr>
          <w:rFonts w:ascii="Times New Roman" w:hAnsi="Times New Roman" w:cs="Times New Roman"/>
          <w:sz w:val="28"/>
          <w:szCs w:val="28"/>
        </w:rPr>
        <w:t xml:space="preserve"> рублей на 1 застрахованное лицо в месяц.»</w:t>
      </w:r>
    </w:p>
    <w:p w:rsidR="00A63CF9" w:rsidRDefault="00A63CF9">
      <w:pPr>
        <w:pStyle w:val="ConsPlusNormal"/>
        <w:jc w:val="both"/>
        <w:rPr>
          <w:rFonts w:ascii="Times New Roman" w:hAnsi="Times New Roman" w:cs="Times New Roman"/>
          <w:color w:val="000000" w:themeColor="text1"/>
          <w:sz w:val="28"/>
          <w:szCs w:val="28"/>
        </w:rPr>
      </w:pPr>
    </w:p>
    <w:p w:rsidR="00A63CF9" w:rsidRDefault="007E7E15" w:rsidP="0056626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10. Пункт 1 Главы 5 Раздела 3 Тарифного соглашения изложить в новой редакции: </w:t>
      </w:r>
    </w:p>
    <w:p w:rsidR="00A63CF9" w:rsidRDefault="007E7E15" w:rsidP="00566265">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 Размер базового (среднего)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составляет </w:t>
      </w:r>
      <w:r w:rsidR="00611FD0">
        <w:rPr>
          <w:rFonts w:ascii="Times New Roman" w:hAnsi="Times New Roman" w:cs="Times New Roman"/>
          <w:sz w:val="28"/>
          <w:szCs w:val="28"/>
        </w:rPr>
        <w:t>845,46</w:t>
      </w:r>
      <w:r>
        <w:rPr>
          <w:rFonts w:ascii="Times New Roman" w:hAnsi="Times New Roman" w:cs="Times New Roman"/>
          <w:sz w:val="28"/>
          <w:szCs w:val="28"/>
        </w:rPr>
        <w:t> рубль на 1 застрахованное лицо в месяц.»</w:t>
      </w:r>
    </w:p>
    <w:p w:rsidR="00A63CF9" w:rsidRDefault="00A63CF9">
      <w:pPr>
        <w:pStyle w:val="ConsPlusNormal"/>
        <w:jc w:val="both"/>
        <w:rPr>
          <w:rFonts w:ascii="Times New Roman" w:hAnsi="Times New Roman" w:cs="Times New Roman"/>
          <w:color w:val="000000" w:themeColor="text1"/>
          <w:sz w:val="28"/>
          <w:szCs w:val="28"/>
        </w:rPr>
      </w:pPr>
    </w:p>
    <w:p w:rsidR="00A63CF9" w:rsidRDefault="007E7E15" w:rsidP="00566265">
      <w:pPr>
        <w:pStyle w:val="ConsPlusNormal"/>
        <w:numPr>
          <w:ilvl w:val="0"/>
          <w:numId w:val="9"/>
        </w:numPr>
        <w:tabs>
          <w:tab w:val="left" w:pos="567"/>
          <w:tab w:val="left" w:pos="1134"/>
        </w:tabs>
        <w:ind w:right="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Абзац 3 Подпункта 9 Пункта 10 Главы 2 Раздела 3 Тарифного соглашения изложить в новой редакции:</w:t>
      </w:r>
    </w:p>
    <w:p w:rsidR="00A63CF9" w:rsidRDefault="00A63CF9">
      <w:pPr>
        <w:pStyle w:val="ConsPlusNormal"/>
        <w:tabs>
          <w:tab w:val="left" w:pos="0"/>
        </w:tabs>
        <w:jc w:val="both"/>
        <w:rPr>
          <w:rFonts w:ascii="Times New Roman" w:hAnsi="Times New Roman" w:cs="Times New Roman"/>
          <w:color w:val="000000" w:themeColor="text1"/>
          <w:sz w:val="28"/>
          <w:szCs w:val="28"/>
        </w:rPr>
      </w:pPr>
    </w:p>
    <w:p w:rsidR="00A63CF9" w:rsidRDefault="007E7E15">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 xml:space="preserve">При оплате случаев лечения, подлежащих оплате по двум КСГ по основаниям, изложенным в подпункта 2 - 10 пункта 13 Тарифного соглашения, случай до перевода не может считаться прерванным по основаниям, изложенным в подпунктах 2 - 4 настоящего пункта. Приложением № 23 определен перечень КСГ, для которых длительность 3 дня и менее является оптимальными сроками лечения. Законченный случай оказания медицинской помощи по данным КСГ не может быть отнесен к прерванным случаям по основаниям, связанным с длительностью лечения, и оплачивается в полном объеме независимо от длительности лечения. При этом в случае наличия оснований </w:t>
      </w:r>
      <w:proofErr w:type="spellStart"/>
      <w:r>
        <w:rPr>
          <w:rFonts w:ascii="Times New Roman" w:hAnsi="Times New Roman" w:cs="Times New Roman"/>
          <w:color w:val="000000" w:themeColor="text1"/>
          <w:sz w:val="28"/>
          <w:szCs w:val="28"/>
        </w:rPr>
        <w:t>прерванности</w:t>
      </w:r>
      <w:proofErr w:type="spellEnd"/>
      <w:r>
        <w:rPr>
          <w:rFonts w:ascii="Times New Roman" w:hAnsi="Times New Roman" w:cs="Times New Roman"/>
          <w:color w:val="000000" w:themeColor="text1"/>
          <w:sz w:val="28"/>
          <w:szCs w:val="28"/>
        </w:rPr>
        <w:t>, не связанных с длительностью лечения, случай оказания медицинской помощи оплачивается как прерванный на общих основаниях.»</w:t>
      </w:r>
    </w:p>
    <w:p w:rsidR="00A63CF9" w:rsidRDefault="00A63CF9">
      <w:pPr>
        <w:pStyle w:val="ConsPlusNormal"/>
        <w:jc w:val="both"/>
        <w:rPr>
          <w:rFonts w:ascii="Times New Roman" w:hAnsi="Times New Roman" w:cs="Times New Roman"/>
          <w:color w:val="000000" w:themeColor="text1"/>
          <w:sz w:val="28"/>
          <w:szCs w:val="28"/>
        </w:rPr>
      </w:pP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12.</w:t>
      </w:r>
      <w:r>
        <w:rPr>
          <w:color w:val="000000" w:themeColor="text1"/>
        </w:rPr>
        <w:t xml:space="preserve">  </w:t>
      </w:r>
      <w:r>
        <w:rPr>
          <w:rFonts w:ascii="Times New Roman" w:hAnsi="Times New Roman" w:cs="Times New Roman"/>
          <w:color w:val="000000" w:themeColor="text1"/>
          <w:sz w:val="28"/>
          <w:szCs w:val="28"/>
        </w:rPr>
        <w:t>После Пункта 12 Главы 2 Раздела 3 Тарифного соглашения дополнить Пунктом 13 следующего содержания:</w:t>
      </w:r>
    </w:p>
    <w:p w:rsidR="00A63CF9" w:rsidRDefault="00A63CF9">
      <w:pPr>
        <w:pStyle w:val="ConsPlusNormal"/>
        <w:ind w:left="142" w:firstLine="425"/>
        <w:jc w:val="both"/>
        <w:rPr>
          <w:rFonts w:ascii="Times New Roman" w:hAnsi="Times New Roman" w:cs="Times New Roman"/>
          <w:color w:val="000000" w:themeColor="text1"/>
          <w:sz w:val="28"/>
          <w:szCs w:val="28"/>
        </w:rPr>
      </w:pPr>
    </w:p>
    <w:p w:rsidR="00A63CF9" w:rsidRDefault="007E7E15">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13. </w:t>
      </w:r>
      <w:r>
        <w:rPr>
          <w:rFonts w:ascii="Times New Roman" w:hAnsi="Times New Roman" w:cs="Times New Roman"/>
          <w:color w:val="000000" w:themeColor="text1"/>
          <w:sz w:val="28"/>
          <w:szCs w:val="28"/>
        </w:rPr>
        <w:tab/>
        <w:t>Порядок оплаты случаев лечения по двум и более КСГ.</w:t>
      </w:r>
    </w:p>
    <w:p w:rsidR="00A63CF9" w:rsidRDefault="00A63CF9">
      <w:pPr>
        <w:pStyle w:val="ConsPlusNormal"/>
        <w:ind w:left="142" w:firstLine="425"/>
        <w:jc w:val="both"/>
        <w:rPr>
          <w:rFonts w:ascii="Times New Roman" w:hAnsi="Times New Roman" w:cs="Times New Roman"/>
          <w:color w:val="000000" w:themeColor="text1"/>
          <w:sz w:val="28"/>
          <w:szCs w:val="28"/>
        </w:rPr>
      </w:pP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Медицинская помощь, оказываемая пациентам одновременно по двум и более КСГ осуществляется в следующих случаях: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ab/>
        <w:t xml:space="preserve">Перевод пациента из одного отделения медицинской организации  в другое в рамках круглосуточного или дневного стационаров (в том числе  в случае перевода из круглосуточного стационара в дневной стационар и наоборот), если это обусловлено возникновением (наличием) нового заболевания или состояния, входящего в другой класс МКБ-10 и  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 переводе пациента из одной медицинской организации в другую; оба случая лечения заболевания подлежат оплате  в рамках соответствующих КСГ, при этом случай лечения до осуществления перевода относится к прерванным по установленным пунктом 10 главы 2 раздела 3 Тарифного соглашения основаниям;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ab/>
        <w:t xml:space="preserve">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ab/>
        <w:t xml:space="preserve">Оказание медицинской помощи, связанной с установкой,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ab/>
        <w:t>Этапное хирургическое лечение при злокачественных новообразованиях, не предусматривающее выписку пациента из стационара (</w:t>
      </w:r>
      <w:proofErr w:type="gramStart"/>
      <w:r>
        <w:rPr>
          <w:rFonts w:ascii="Times New Roman" w:hAnsi="Times New Roman" w:cs="Times New Roman"/>
          <w:color w:val="000000" w:themeColor="text1"/>
          <w:sz w:val="28"/>
          <w:szCs w:val="28"/>
        </w:rPr>
        <w:t>например</w:t>
      </w:r>
      <w:proofErr w:type="gramEnd"/>
      <w:r>
        <w:rPr>
          <w:rFonts w:ascii="Times New Roman" w:hAnsi="Times New Roman" w:cs="Times New Roman"/>
          <w:color w:val="000000" w:themeColor="text1"/>
          <w:sz w:val="28"/>
          <w:szCs w:val="28"/>
        </w:rPr>
        <w:t xml:space="preserve">: удаление первичной опухоли кишечника с формированием </w:t>
      </w:r>
      <w:proofErr w:type="spellStart"/>
      <w:r>
        <w:rPr>
          <w:rFonts w:ascii="Times New Roman" w:hAnsi="Times New Roman" w:cs="Times New Roman"/>
          <w:color w:val="000000" w:themeColor="text1"/>
          <w:sz w:val="28"/>
          <w:szCs w:val="28"/>
        </w:rPr>
        <w:t>колостомы</w:t>
      </w:r>
      <w:proofErr w:type="spellEnd"/>
      <w:r>
        <w:rPr>
          <w:rFonts w:ascii="Times New Roman" w:hAnsi="Times New Roman" w:cs="Times New Roman"/>
          <w:color w:val="000000" w:themeColor="text1"/>
          <w:sz w:val="28"/>
          <w:szCs w:val="28"/>
        </w:rPr>
        <w:t xml:space="preserve"> (операция 1) и закрытие ранее сформированной </w:t>
      </w:r>
      <w:proofErr w:type="spellStart"/>
      <w:r>
        <w:rPr>
          <w:rFonts w:ascii="Times New Roman" w:hAnsi="Times New Roman" w:cs="Times New Roman"/>
          <w:color w:val="000000" w:themeColor="text1"/>
          <w:sz w:val="28"/>
          <w:szCs w:val="28"/>
        </w:rPr>
        <w:t>колостомы</w:t>
      </w:r>
      <w:proofErr w:type="spellEnd"/>
      <w:r>
        <w:rPr>
          <w:rFonts w:ascii="Times New Roman" w:hAnsi="Times New Roman" w:cs="Times New Roman"/>
          <w:color w:val="000000" w:themeColor="text1"/>
          <w:sz w:val="28"/>
          <w:szCs w:val="28"/>
        </w:rPr>
        <w:t xml:space="preserve"> (операция 2));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ab/>
        <w:t xml:space="preserve">Проведение </w:t>
      </w:r>
      <w:proofErr w:type="spellStart"/>
      <w:r>
        <w:rPr>
          <w:rFonts w:ascii="Times New Roman" w:hAnsi="Times New Roman" w:cs="Times New Roman"/>
          <w:color w:val="000000" w:themeColor="text1"/>
          <w:sz w:val="28"/>
          <w:szCs w:val="28"/>
        </w:rPr>
        <w:t>реинфузии</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аутокрови</w:t>
      </w:r>
      <w:proofErr w:type="spellEnd"/>
      <w:r>
        <w:rPr>
          <w:rFonts w:ascii="Times New Roman" w:hAnsi="Times New Roman" w:cs="Times New Roman"/>
          <w:color w:val="000000" w:themeColor="text1"/>
          <w:sz w:val="28"/>
          <w:szCs w:val="28"/>
        </w:rPr>
        <w:t xml:space="preserve">, баллонной внутриаортальной </w:t>
      </w:r>
      <w:proofErr w:type="spellStart"/>
      <w:r>
        <w:rPr>
          <w:rFonts w:ascii="Times New Roman" w:hAnsi="Times New Roman" w:cs="Times New Roman"/>
          <w:color w:val="000000" w:themeColor="text1"/>
          <w:sz w:val="28"/>
          <w:szCs w:val="28"/>
        </w:rPr>
        <w:t>контрпульсации</w:t>
      </w:r>
      <w:proofErr w:type="spellEnd"/>
      <w:r>
        <w:rPr>
          <w:rFonts w:ascii="Times New Roman" w:hAnsi="Times New Roman" w:cs="Times New Roman"/>
          <w:color w:val="000000" w:themeColor="text1"/>
          <w:sz w:val="28"/>
          <w:szCs w:val="28"/>
        </w:rPr>
        <w:t xml:space="preserve"> или экстракорпоральной мембранной </w:t>
      </w:r>
      <w:proofErr w:type="spellStart"/>
      <w:r>
        <w:rPr>
          <w:rFonts w:ascii="Times New Roman" w:hAnsi="Times New Roman" w:cs="Times New Roman"/>
          <w:color w:val="000000" w:themeColor="text1"/>
          <w:sz w:val="28"/>
          <w:szCs w:val="28"/>
        </w:rPr>
        <w:t>оксигенации</w:t>
      </w:r>
      <w:proofErr w:type="spellEnd"/>
      <w:r>
        <w:rPr>
          <w:rFonts w:ascii="Times New Roman" w:hAnsi="Times New Roman" w:cs="Times New Roman"/>
          <w:color w:val="000000" w:themeColor="text1"/>
          <w:sz w:val="28"/>
          <w:szCs w:val="28"/>
        </w:rPr>
        <w:t xml:space="preserve"> на фоне лечения основного заболевания;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ab/>
        <w:t xml:space="preserve">Дородовая госпитализация пациентки в отделение патологии беременности в случае пребывания в отделении патологии беременности в течение 6 дней и более с последующим родоразрешением.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Также осуществляется оплата по двум КСГ в случае дородовой госпитализации пациентки в отделение патологии беременности и пребывания в нем в течение 2 дней и более с последующим родоразрешением при оказании медицинской помощи по следующим МКБ 10: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 xml:space="preserve">O14.1 Тяжелая </w:t>
      </w:r>
      <w:proofErr w:type="spellStart"/>
      <w:r>
        <w:rPr>
          <w:rFonts w:ascii="Times New Roman" w:hAnsi="Times New Roman" w:cs="Times New Roman"/>
          <w:color w:val="000000" w:themeColor="text1"/>
          <w:sz w:val="28"/>
          <w:szCs w:val="28"/>
        </w:rPr>
        <w:t>преэклампсия</w:t>
      </w:r>
      <w:proofErr w:type="spellEnd"/>
      <w:r>
        <w:rPr>
          <w:rFonts w:ascii="Times New Roman" w:hAnsi="Times New Roman" w:cs="Times New Roman"/>
          <w:color w:val="000000" w:themeColor="text1"/>
          <w:sz w:val="28"/>
          <w:szCs w:val="28"/>
        </w:rPr>
        <w:t xml:space="preserve">;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 xml:space="preserve">O34.2 Послеоперационный рубец матки, требующий предоставления медицинской помощи матери;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 xml:space="preserve">O36.3 Признаки внутриутробной гипоксии плода, требующие предоставления медицинской помощи матери;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 xml:space="preserve">O36.4 Внутриутробная гибель плода, требующая предоставления медицинской помощи матери;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 xml:space="preserve">O42.2 Преждевременный разрыв плодных оболочек, задержка родов, связанная с проводимой терапией;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ab/>
        <w:t xml:space="preserve">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ab/>
        <w:t xml:space="preserve">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ab/>
        <w:t xml:space="preserve">Проведение антимикробной терапии инфекций, вызванных </w:t>
      </w:r>
      <w:proofErr w:type="spellStart"/>
      <w:r>
        <w:rPr>
          <w:rFonts w:ascii="Times New Roman" w:hAnsi="Times New Roman" w:cs="Times New Roman"/>
          <w:color w:val="000000" w:themeColor="text1"/>
          <w:sz w:val="28"/>
          <w:szCs w:val="28"/>
        </w:rPr>
        <w:t>полирезистентными</w:t>
      </w:r>
      <w:proofErr w:type="spellEnd"/>
      <w:r>
        <w:rPr>
          <w:rFonts w:ascii="Times New Roman" w:hAnsi="Times New Roman" w:cs="Times New Roman"/>
          <w:color w:val="000000" w:themeColor="text1"/>
          <w:sz w:val="28"/>
          <w:szCs w:val="28"/>
        </w:rPr>
        <w:t xml:space="preserve"> микроорганизмами.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ab/>
      </w:r>
      <w:proofErr w:type="gramStart"/>
      <w:r>
        <w:rPr>
          <w:rFonts w:ascii="Times New Roman" w:hAnsi="Times New Roman" w:cs="Times New Roman"/>
          <w:color w:val="000000" w:themeColor="text1"/>
          <w:sz w:val="28"/>
          <w:szCs w:val="28"/>
        </w:rPr>
        <w:t>В</w:t>
      </w:r>
      <w:proofErr w:type="gramEnd"/>
      <w:r>
        <w:rPr>
          <w:rFonts w:ascii="Times New Roman" w:hAnsi="Times New Roman" w:cs="Times New Roman"/>
          <w:color w:val="000000" w:themeColor="text1"/>
          <w:sz w:val="28"/>
          <w:szCs w:val="28"/>
        </w:rPr>
        <w:t xml:space="preserve">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Выставление случая только по КСГ st36.013–st36.015 «Проведение антимикробной терапии инфекций, вызванных </w:t>
      </w:r>
      <w:proofErr w:type="spellStart"/>
      <w:r>
        <w:rPr>
          <w:rFonts w:ascii="Times New Roman" w:hAnsi="Times New Roman" w:cs="Times New Roman"/>
          <w:color w:val="000000" w:themeColor="text1"/>
          <w:sz w:val="28"/>
          <w:szCs w:val="28"/>
        </w:rPr>
        <w:t>полирезистентными</w:t>
      </w:r>
      <w:proofErr w:type="spellEnd"/>
      <w:r>
        <w:rPr>
          <w:rFonts w:ascii="Times New Roman" w:hAnsi="Times New Roman" w:cs="Times New Roman"/>
          <w:color w:val="000000" w:themeColor="text1"/>
          <w:sz w:val="28"/>
          <w:szCs w:val="28"/>
        </w:rPr>
        <w:t xml:space="preserve"> микроорганизмами (уровень 1–3)», без основной КСГ, а также выставление случая по двум КСГ из перечня st36.013–st36.015 «Проведение антимикробной терапии инфекций, вызванных </w:t>
      </w:r>
      <w:proofErr w:type="spellStart"/>
      <w:r>
        <w:rPr>
          <w:rFonts w:ascii="Times New Roman" w:hAnsi="Times New Roman" w:cs="Times New Roman"/>
          <w:color w:val="000000" w:themeColor="text1"/>
          <w:sz w:val="28"/>
          <w:szCs w:val="28"/>
        </w:rPr>
        <w:t>полирезистентными</w:t>
      </w:r>
      <w:proofErr w:type="spellEnd"/>
      <w:r>
        <w:rPr>
          <w:rFonts w:ascii="Times New Roman" w:hAnsi="Times New Roman" w:cs="Times New Roman"/>
          <w:color w:val="000000" w:themeColor="text1"/>
          <w:sz w:val="28"/>
          <w:szCs w:val="28"/>
        </w:rPr>
        <w:t xml:space="preserve"> микроорганизмами (уровень 1–3)» с пересекающимися сроками лечения не допускается.»</w:t>
      </w:r>
    </w:p>
    <w:p w:rsidR="00A63CF9" w:rsidRDefault="00A63CF9">
      <w:pPr>
        <w:pStyle w:val="ConsPlusNormal"/>
        <w:ind w:left="142" w:firstLine="425"/>
        <w:jc w:val="both"/>
        <w:rPr>
          <w:rFonts w:ascii="Times New Roman" w:hAnsi="Times New Roman" w:cs="Times New Roman"/>
          <w:color w:val="000000" w:themeColor="text1"/>
          <w:sz w:val="28"/>
          <w:szCs w:val="28"/>
        </w:rPr>
      </w:pPr>
    </w:p>
    <w:p w:rsidR="00A63CF9" w:rsidRDefault="007E7E15">
      <w:pPr>
        <w:pStyle w:val="ConsPlusNormal"/>
        <w:ind w:left="142"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13. Абзац 3 Подпункта 10 Пункта 10 Главы 3 Раздела 3 Тарифного соглашения изложить в новой редакции:</w:t>
      </w:r>
    </w:p>
    <w:p w:rsidR="00A63CF9" w:rsidRDefault="00A63CF9">
      <w:pPr>
        <w:pStyle w:val="ConsPlusNormal"/>
        <w:ind w:left="142" w:firstLine="425"/>
        <w:jc w:val="both"/>
        <w:rPr>
          <w:rFonts w:ascii="Times New Roman" w:hAnsi="Times New Roman" w:cs="Times New Roman"/>
          <w:color w:val="000000" w:themeColor="text1"/>
          <w:sz w:val="28"/>
          <w:szCs w:val="28"/>
        </w:rPr>
      </w:pPr>
    </w:p>
    <w:p w:rsidR="00A63CF9" w:rsidRDefault="007E7E15" w:rsidP="00566265">
      <w:pPr>
        <w:pStyle w:val="ConsPlusNormal"/>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 xml:space="preserve">При оплате случаев лечения, подлежащих оплате по двум КСГ по основаниям, изложенным в подпункта 2 - 10 пункта 12 Тарифного соглашения, случай до перевода не может считаться прерванным по основаниям, изложенным в подпунктах 2 - 4 настоящего пункта. Приложением № 24 определен перечень КСГ, для которых длительность 3 дня и менее является оптимальными сроками лечения. Законченный случай оказания медицинской помощи по данным КСГ не может быть отнесен к прерванным случаям по основаниям, связанным с длительностью лечения, и оплачивается в полном объеме независимо от длительности лечения. При этом в случае наличия оснований </w:t>
      </w:r>
      <w:proofErr w:type="spellStart"/>
      <w:r>
        <w:rPr>
          <w:rFonts w:ascii="Times New Roman" w:hAnsi="Times New Roman" w:cs="Times New Roman"/>
          <w:color w:val="000000" w:themeColor="text1"/>
          <w:sz w:val="28"/>
          <w:szCs w:val="28"/>
        </w:rPr>
        <w:t>прерванности</w:t>
      </w:r>
      <w:proofErr w:type="spellEnd"/>
      <w:r>
        <w:rPr>
          <w:rFonts w:ascii="Times New Roman" w:hAnsi="Times New Roman" w:cs="Times New Roman"/>
          <w:color w:val="000000" w:themeColor="text1"/>
          <w:sz w:val="28"/>
          <w:szCs w:val="28"/>
        </w:rPr>
        <w:t>, не связанных с длительностью лечения, случай оказания медицинской помощи оплачивается как прерванный на общих основаниях.»</w:t>
      </w:r>
    </w:p>
    <w:p w:rsidR="00A63CF9" w:rsidRDefault="00A63CF9">
      <w:pPr>
        <w:pStyle w:val="ConsPlusNormal"/>
        <w:ind w:left="142" w:firstLine="425"/>
        <w:jc w:val="both"/>
        <w:rPr>
          <w:rFonts w:ascii="Times New Roman" w:hAnsi="Times New Roman" w:cs="Times New Roman"/>
          <w:color w:val="000000" w:themeColor="text1"/>
          <w:sz w:val="28"/>
          <w:szCs w:val="28"/>
        </w:rPr>
      </w:pP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14. После Пункта 11 Главы 3 Раздела 3 Тарифного соглашения дополнить Пунктом 12 следующего содержания:</w:t>
      </w:r>
    </w:p>
    <w:p w:rsidR="00A63CF9" w:rsidRDefault="00A63CF9">
      <w:pPr>
        <w:pStyle w:val="ConsPlusNormal"/>
        <w:ind w:left="142" w:firstLine="425"/>
        <w:jc w:val="both"/>
        <w:rPr>
          <w:rFonts w:ascii="Times New Roman" w:hAnsi="Times New Roman" w:cs="Times New Roman"/>
          <w:color w:val="000000" w:themeColor="text1"/>
          <w:sz w:val="28"/>
          <w:szCs w:val="28"/>
        </w:rPr>
      </w:pPr>
    </w:p>
    <w:p w:rsidR="00A63CF9" w:rsidRDefault="007E7E15">
      <w:pPr>
        <w:pStyle w:val="ConsPlusNormal"/>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12. Порядок оплаты случаев лечения по двум и более КСГ.</w:t>
      </w:r>
    </w:p>
    <w:p w:rsidR="00A63CF9" w:rsidRDefault="00A63CF9">
      <w:pPr>
        <w:pStyle w:val="ConsPlusNormal"/>
        <w:ind w:left="142" w:firstLine="425"/>
        <w:jc w:val="both"/>
        <w:rPr>
          <w:rFonts w:ascii="Times New Roman" w:hAnsi="Times New Roman" w:cs="Times New Roman"/>
          <w:color w:val="000000" w:themeColor="text1"/>
          <w:sz w:val="28"/>
          <w:szCs w:val="28"/>
        </w:rPr>
      </w:pP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Медицинская помощь, оказываемая пациентам одновременно по двум и более КСГ осуществляется в следующих случаях: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ab/>
        <w:t xml:space="preserve">Перевод пациента из одного отделения медицинской организации  в другое в рамках круглосуточного или дневного стационаров (в том числе  в случае перевода из круглосуточного стационара в дневной стационар и наоборот), если это обусловлено возникновением (наличием) нового заболевания или состояния, входящего в другой класс МКБ-10 и  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 переводе пациента из одной медицинской организации в другую; оба случая лечения заболевания подлежат оплате  в рамках соответствующих КСГ, при этом случай лечения до осуществления перевода относится к прерванным по установленным пунктом 10 главы 3 раздела 3 Тарифного соглашения основаниям;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ab/>
        <w:t xml:space="preserve">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ab/>
        <w:t xml:space="preserve">Оказание медицинской помощи, связанной с установкой,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ab/>
        <w:t>Этапное хирургическое лечение при злокачественных новообразованиях, не предусматривающее выписку пациента из стационара (</w:t>
      </w:r>
      <w:proofErr w:type="gramStart"/>
      <w:r>
        <w:rPr>
          <w:rFonts w:ascii="Times New Roman" w:hAnsi="Times New Roman" w:cs="Times New Roman"/>
          <w:color w:val="000000" w:themeColor="text1"/>
          <w:sz w:val="28"/>
          <w:szCs w:val="28"/>
        </w:rPr>
        <w:t>например</w:t>
      </w:r>
      <w:proofErr w:type="gramEnd"/>
      <w:r>
        <w:rPr>
          <w:rFonts w:ascii="Times New Roman" w:hAnsi="Times New Roman" w:cs="Times New Roman"/>
          <w:color w:val="000000" w:themeColor="text1"/>
          <w:sz w:val="28"/>
          <w:szCs w:val="28"/>
        </w:rPr>
        <w:t xml:space="preserve">: удаление первичной опухоли кишечника с формированием </w:t>
      </w:r>
      <w:proofErr w:type="spellStart"/>
      <w:r>
        <w:rPr>
          <w:rFonts w:ascii="Times New Roman" w:hAnsi="Times New Roman" w:cs="Times New Roman"/>
          <w:color w:val="000000" w:themeColor="text1"/>
          <w:sz w:val="28"/>
          <w:szCs w:val="28"/>
        </w:rPr>
        <w:t>колостомы</w:t>
      </w:r>
      <w:proofErr w:type="spellEnd"/>
      <w:r>
        <w:rPr>
          <w:rFonts w:ascii="Times New Roman" w:hAnsi="Times New Roman" w:cs="Times New Roman"/>
          <w:color w:val="000000" w:themeColor="text1"/>
          <w:sz w:val="28"/>
          <w:szCs w:val="28"/>
        </w:rPr>
        <w:t xml:space="preserve"> (операция 1) и закрытие ранее сформированной </w:t>
      </w:r>
      <w:proofErr w:type="spellStart"/>
      <w:r>
        <w:rPr>
          <w:rFonts w:ascii="Times New Roman" w:hAnsi="Times New Roman" w:cs="Times New Roman"/>
          <w:color w:val="000000" w:themeColor="text1"/>
          <w:sz w:val="28"/>
          <w:szCs w:val="28"/>
        </w:rPr>
        <w:t>колостомы</w:t>
      </w:r>
      <w:proofErr w:type="spellEnd"/>
      <w:r>
        <w:rPr>
          <w:rFonts w:ascii="Times New Roman" w:hAnsi="Times New Roman" w:cs="Times New Roman"/>
          <w:color w:val="000000" w:themeColor="text1"/>
          <w:sz w:val="28"/>
          <w:szCs w:val="28"/>
        </w:rPr>
        <w:t xml:space="preserve"> (операция 2));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ab/>
        <w:t xml:space="preserve">Проведение </w:t>
      </w:r>
      <w:proofErr w:type="spellStart"/>
      <w:r>
        <w:rPr>
          <w:rFonts w:ascii="Times New Roman" w:hAnsi="Times New Roman" w:cs="Times New Roman"/>
          <w:color w:val="000000" w:themeColor="text1"/>
          <w:sz w:val="28"/>
          <w:szCs w:val="28"/>
        </w:rPr>
        <w:t>реинфузии</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аутокрови</w:t>
      </w:r>
      <w:proofErr w:type="spellEnd"/>
      <w:r>
        <w:rPr>
          <w:rFonts w:ascii="Times New Roman" w:hAnsi="Times New Roman" w:cs="Times New Roman"/>
          <w:color w:val="000000" w:themeColor="text1"/>
          <w:sz w:val="28"/>
          <w:szCs w:val="28"/>
        </w:rPr>
        <w:t xml:space="preserve">, баллонной внутриаортальной </w:t>
      </w:r>
      <w:proofErr w:type="spellStart"/>
      <w:r>
        <w:rPr>
          <w:rFonts w:ascii="Times New Roman" w:hAnsi="Times New Roman" w:cs="Times New Roman"/>
          <w:color w:val="000000" w:themeColor="text1"/>
          <w:sz w:val="28"/>
          <w:szCs w:val="28"/>
        </w:rPr>
        <w:t>контрпульсации</w:t>
      </w:r>
      <w:proofErr w:type="spellEnd"/>
      <w:r>
        <w:rPr>
          <w:rFonts w:ascii="Times New Roman" w:hAnsi="Times New Roman" w:cs="Times New Roman"/>
          <w:color w:val="000000" w:themeColor="text1"/>
          <w:sz w:val="28"/>
          <w:szCs w:val="28"/>
        </w:rPr>
        <w:t xml:space="preserve"> или экстракорпоральной мембранной </w:t>
      </w:r>
      <w:proofErr w:type="spellStart"/>
      <w:r>
        <w:rPr>
          <w:rFonts w:ascii="Times New Roman" w:hAnsi="Times New Roman" w:cs="Times New Roman"/>
          <w:color w:val="000000" w:themeColor="text1"/>
          <w:sz w:val="28"/>
          <w:szCs w:val="28"/>
        </w:rPr>
        <w:t>оксигенации</w:t>
      </w:r>
      <w:proofErr w:type="spellEnd"/>
      <w:r>
        <w:rPr>
          <w:rFonts w:ascii="Times New Roman" w:hAnsi="Times New Roman" w:cs="Times New Roman"/>
          <w:color w:val="000000" w:themeColor="text1"/>
          <w:sz w:val="28"/>
          <w:szCs w:val="28"/>
        </w:rPr>
        <w:t xml:space="preserve"> на фоне лечения основного заболевания;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ab/>
        <w:t xml:space="preserve">Дородовая госпитализация пациентки в отделение патологии беременности в случае пребывания в отделении патологии беременности в течение 6 дней и более с последующим родоразрешением.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Также осуществляется оплата по двум КСГ в случае дородовой госпитализации пациентки в отделение патологии беременности и пребывания в нем в течение 2 дней и более с последующим родоразрешением при оказании медицинской помощи по следующим МКБ 10: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 xml:space="preserve">O14.1 Тяжелая </w:t>
      </w:r>
      <w:proofErr w:type="spellStart"/>
      <w:r>
        <w:rPr>
          <w:rFonts w:ascii="Times New Roman" w:hAnsi="Times New Roman" w:cs="Times New Roman"/>
          <w:color w:val="000000" w:themeColor="text1"/>
          <w:sz w:val="28"/>
          <w:szCs w:val="28"/>
        </w:rPr>
        <w:t>преэклампсия</w:t>
      </w:r>
      <w:proofErr w:type="spellEnd"/>
      <w:r>
        <w:rPr>
          <w:rFonts w:ascii="Times New Roman" w:hAnsi="Times New Roman" w:cs="Times New Roman"/>
          <w:color w:val="000000" w:themeColor="text1"/>
          <w:sz w:val="28"/>
          <w:szCs w:val="28"/>
        </w:rPr>
        <w:t xml:space="preserve">; </w:t>
      </w:r>
    </w:p>
    <w:p w:rsidR="00860E56" w:rsidRDefault="00860E56">
      <w:pPr>
        <w:pStyle w:val="ConsPlusNormal"/>
        <w:ind w:firstLine="567"/>
        <w:jc w:val="both"/>
        <w:rPr>
          <w:rFonts w:ascii="Times New Roman" w:hAnsi="Times New Roman" w:cs="Times New Roman"/>
          <w:color w:val="000000" w:themeColor="text1"/>
          <w:sz w:val="28"/>
          <w:szCs w:val="28"/>
        </w:rPr>
      </w:pP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 xml:space="preserve">O34.2 Послеоперационный рубец матки, требующий предоставления медицинской помощи матери;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 xml:space="preserve">O36.3 Признаки внутриутробной гипоксии плода, требующие предоставления медицинской помощи матери;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 xml:space="preserve">O36.4 Внутриутробная гибель плода, требующая предоставления медицинской помощи матери;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 xml:space="preserve">O42.2 Преждевременный разрыв плодных оболочек, задержка родов, связанная с проводимой терапией; </w:t>
      </w:r>
    </w:p>
    <w:p w:rsidR="00860E56" w:rsidRDefault="00860E56">
      <w:pPr>
        <w:pStyle w:val="ConsPlusNormal"/>
        <w:ind w:firstLine="567"/>
        <w:jc w:val="both"/>
        <w:rPr>
          <w:rFonts w:ascii="Times New Roman" w:hAnsi="Times New Roman" w:cs="Times New Roman"/>
          <w:color w:val="000000" w:themeColor="text1"/>
          <w:sz w:val="28"/>
          <w:szCs w:val="28"/>
        </w:rPr>
      </w:pP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ab/>
        <w:t xml:space="preserve">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 </w:t>
      </w:r>
    </w:p>
    <w:p w:rsidR="00860E56" w:rsidRDefault="00860E56">
      <w:pPr>
        <w:pStyle w:val="ConsPlusNormal"/>
        <w:ind w:firstLine="567"/>
        <w:jc w:val="both"/>
        <w:rPr>
          <w:rFonts w:ascii="Times New Roman" w:hAnsi="Times New Roman" w:cs="Times New Roman"/>
          <w:color w:val="000000" w:themeColor="text1"/>
          <w:sz w:val="28"/>
          <w:szCs w:val="28"/>
        </w:rPr>
      </w:pP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ab/>
        <w:t xml:space="preserve">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 </w:t>
      </w:r>
    </w:p>
    <w:p w:rsidR="00860E56" w:rsidRDefault="00860E56">
      <w:pPr>
        <w:pStyle w:val="ConsPlusNormal"/>
        <w:ind w:firstLine="567"/>
        <w:jc w:val="both"/>
        <w:rPr>
          <w:rFonts w:ascii="Times New Roman" w:hAnsi="Times New Roman" w:cs="Times New Roman"/>
          <w:color w:val="000000" w:themeColor="text1"/>
          <w:sz w:val="28"/>
          <w:szCs w:val="28"/>
        </w:rPr>
      </w:pP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BD6D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Проведение антимикробной терапии инфекций, вызванных </w:t>
      </w:r>
      <w:proofErr w:type="spellStart"/>
      <w:r>
        <w:rPr>
          <w:rFonts w:ascii="Times New Roman" w:hAnsi="Times New Roman" w:cs="Times New Roman"/>
          <w:color w:val="000000" w:themeColor="text1"/>
          <w:sz w:val="28"/>
          <w:szCs w:val="28"/>
        </w:rPr>
        <w:t>полирезистентными</w:t>
      </w:r>
      <w:proofErr w:type="spellEnd"/>
      <w:r>
        <w:rPr>
          <w:rFonts w:ascii="Times New Roman" w:hAnsi="Times New Roman" w:cs="Times New Roman"/>
          <w:color w:val="000000" w:themeColor="text1"/>
          <w:sz w:val="28"/>
          <w:szCs w:val="28"/>
        </w:rPr>
        <w:t xml:space="preserve"> микроорганизмами. </w:t>
      </w:r>
    </w:p>
    <w:p w:rsidR="00860E56" w:rsidRDefault="00860E56">
      <w:pPr>
        <w:pStyle w:val="ConsPlusNormal"/>
        <w:ind w:firstLine="567"/>
        <w:jc w:val="both"/>
        <w:rPr>
          <w:rFonts w:ascii="Times New Roman" w:hAnsi="Times New Roman" w:cs="Times New Roman"/>
          <w:color w:val="000000" w:themeColor="text1"/>
          <w:sz w:val="28"/>
          <w:szCs w:val="28"/>
        </w:rPr>
      </w:pP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BD6D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A63CF9" w:rsidRDefault="007E7E1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ab/>
      </w:r>
    </w:p>
    <w:p w:rsidR="00A63CF9" w:rsidRDefault="007E7E15" w:rsidP="0056626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15. </w:t>
      </w:r>
      <w:r w:rsidR="00BD6D4B">
        <w:rPr>
          <w:rFonts w:ascii="Times New Roman" w:hAnsi="Times New Roman" w:cs="Times New Roman"/>
          <w:sz w:val="28"/>
          <w:szCs w:val="28"/>
        </w:rPr>
        <w:t xml:space="preserve">  </w:t>
      </w:r>
      <w:r>
        <w:rPr>
          <w:rFonts w:ascii="Times New Roman" w:hAnsi="Times New Roman" w:cs="Times New Roman"/>
          <w:sz w:val="28"/>
          <w:szCs w:val="28"/>
        </w:rPr>
        <w:t>Пункт 8 Главы 6 Раздела 3 Тарифного соглашения изложить в следующей редакции:</w:t>
      </w:r>
    </w:p>
    <w:p w:rsidR="00860E56" w:rsidRDefault="00860E56" w:rsidP="00566265">
      <w:pPr>
        <w:pStyle w:val="ConsPlusNormal"/>
        <w:jc w:val="both"/>
        <w:rPr>
          <w:rFonts w:ascii="Times New Roman" w:hAnsi="Times New Roman" w:cs="Times New Roman"/>
          <w:sz w:val="28"/>
          <w:szCs w:val="28"/>
        </w:rPr>
      </w:pPr>
    </w:p>
    <w:p w:rsidR="00A63CF9" w:rsidRDefault="007E7E15" w:rsidP="00566265">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Pr>
          <w:rFonts w:ascii="Times New Roman" w:hAnsi="Times New Roman" w:cs="Times New Roman"/>
          <w:sz w:val="28"/>
          <w:szCs w:val="28"/>
        </w:rPr>
        <w:tab/>
      </w:r>
      <w:proofErr w:type="gramEnd"/>
      <w:r>
        <w:rPr>
          <w:rFonts w:ascii="Times New Roman" w:hAnsi="Times New Roman" w:cs="Times New Roman"/>
          <w:sz w:val="28"/>
          <w:szCs w:val="28"/>
        </w:rPr>
        <w:t>8. При приобретении основных средств (оборудования, производственного и хозяйственного инвентаря) необходимо руководствоваться ОК 013-2014.»</w:t>
      </w:r>
    </w:p>
    <w:p w:rsidR="00A63CF9" w:rsidRDefault="00A63CF9">
      <w:pPr>
        <w:pStyle w:val="ConsPlusNormal"/>
        <w:ind w:firstLine="567"/>
        <w:jc w:val="both"/>
        <w:rPr>
          <w:rFonts w:ascii="Times New Roman" w:hAnsi="Times New Roman" w:cs="Times New Roman"/>
          <w:color w:val="000000" w:themeColor="text1"/>
          <w:sz w:val="28"/>
          <w:szCs w:val="28"/>
        </w:rPr>
      </w:pPr>
    </w:p>
    <w:p w:rsidR="00A63CF9" w:rsidRDefault="00BD6D4B">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  </w:t>
      </w:r>
      <w:r w:rsidR="007E7E15">
        <w:rPr>
          <w:rFonts w:ascii="Times New Roman" w:hAnsi="Times New Roman" w:cs="Times New Roman"/>
          <w:color w:val="000000" w:themeColor="text1"/>
          <w:sz w:val="28"/>
          <w:szCs w:val="28"/>
        </w:rPr>
        <w:t>Приложение № 1 «Перечень медицинских организаций (структурных подразделений медицинских организаций), оказывающих медицинскую помощь в амбулаторных условиях» к Тарифному соглашению изложить в новой редакции (приложение № 1 к настоящему Дополнительному соглашению).</w:t>
      </w:r>
    </w:p>
    <w:p w:rsidR="00A63CF9" w:rsidRDefault="00A63CF9">
      <w:pPr>
        <w:pStyle w:val="ConsPlusNormal"/>
        <w:ind w:firstLine="567"/>
        <w:jc w:val="both"/>
        <w:rPr>
          <w:rFonts w:ascii="Times New Roman" w:hAnsi="Times New Roman" w:cs="Times New Roman"/>
          <w:color w:val="000000" w:themeColor="text1"/>
          <w:sz w:val="28"/>
          <w:szCs w:val="28"/>
        </w:rPr>
      </w:pP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BD6D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Приложение № 2 «Перечень медицинских организаций (структурных подразделений медицинских организаций), оказывающих медицинскую помощь в стационарных условиях» к Тарифному соглашению изложить в новой редакции (приложение № 2 к настоящему Дополнительному соглашению).</w:t>
      </w:r>
    </w:p>
    <w:p w:rsidR="00A63CF9" w:rsidRDefault="00A63CF9">
      <w:pPr>
        <w:pStyle w:val="ConsPlusNormal"/>
        <w:ind w:firstLine="567"/>
        <w:jc w:val="both"/>
        <w:rPr>
          <w:rFonts w:ascii="Times New Roman" w:hAnsi="Times New Roman" w:cs="Times New Roman"/>
          <w:color w:val="000000" w:themeColor="text1"/>
          <w:sz w:val="28"/>
          <w:szCs w:val="28"/>
        </w:rPr>
      </w:pPr>
    </w:p>
    <w:p w:rsidR="00860E56" w:rsidRDefault="007E7E15" w:rsidP="00BD6D4B">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60E56">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xml:space="preserve">. </w:t>
      </w:r>
      <w:r w:rsidR="00BD6D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Приложение </w:t>
      </w:r>
      <w:hyperlink w:anchor="P3062">
        <w:r>
          <w:rPr>
            <w:rFonts w:ascii="Times New Roman" w:hAnsi="Times New Roman" w:cs="Times New Roman"/>
            <w:color w:val="000000" w:themeColor="text1"/>
            <w:sz w:val="28"/>
            <w:szCs w:val="28"/>
          </w:rPr>
          <w:t>№ 7</w:t>
        </w:r>
      </w:hyperlink>
      <w:r>
        <w:rPr>
          <w:rFonts w:ascii="Times New Roman" w:hAnsi="Times New Roman" w:cs="Times New Roman"/>
          <w:color w:val="000000" w:themeColor="text1"/>
          <w:sz w:val="28"/>
          <w:szCs w:val="28"/>
        </w:rPr>
        <w:t xml:space="preserve"> «Тарифы на оплату медицинской помощи, оказываемой в амбулаторных условиях» к Тарифному соглашению </w:t>
      </w:r>
      <w:r w:rsidR="00566265">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зложить </w:t>
      </w:r>
    </w:p>
    <w:p w:rsidR="00860E56" w:rsidRDefault="00860E56" w:rsidP="00BD6D4B">
      <w:pPr>
        <w:pStyle w:val="ConsPlusNormal"/>
        <w:ind w:firstLine="567"/>
        <w:jc w:val="both"/>
        <w:rPr>
          <w:rFonts w:ascii="Times New Roman" w:hAnsi="Times New Roman" w:cs="Times New Roman"/>
          <w:color w:val="000000" w:themeColor="text1"/>
          <w:sz w:val="28"/>
          <w:szCs w:val="28"/>
        </w:rPr>
      </w:pPr>
    </w:p>
    <w:p w:rsidR="00A63CF9" w:rsidRDefault="007E7E15" w:rsidP="00860E56">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новой редакции (приложение № </w:t>
      </w:r>
      <w:r w:rsidR="00860E56">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к настоящему Дополнительному соглашению).</w:t>
      </w:r>
    </w:p>
    <w:p w:rsidR="00860E56" w:rsidRDefault="00860E56" w:rsidP="00860E56">
      <w:pPr>
        <w:tabs>
          <w:tab w:val="left" w:pos="709"/>
        </w:tabs>
        <w:ind w:right="142"/>
        <w:jc w:val="both"/>
        <w:rPr>
          <w:sz w:val="28"/>
          <w:szCs w:val="28"/>
        </w:rPr>
      </w:pPr>
    </w:p>
    <w:p w:rsidR="00860E56" w:rsidRDefault="00860E56" w:rsidP="00860E56">
      <w:pPr>
        <w:tabs>
          <w:tab w:val="left" w:pos="567"/>
        </w:tabs>
        <w:jc w:val="both"/>
        <w:rPr>
          <w:sz w:val="28"/>
          <w:szCs w:val="28"/>
        </w:rPr>
      </w:pPr>
      <w:r>
        <w:rPr>
          <w:sz w:val="28"/>
          <w:szCs w:val="28"/>
        </w:rPr>
        <w:tab/>
        <w:t xml:space="preserve">19. Приложение № 13 «Дифференцированные </w:t>
      </w:r>
      <w:proofErr w:type="spellStart"/>
      <w:r>
        <w:rPr>
          <w:sz w:val="28"/>
          <w:szCs w:val="28"/>
        </w:rPr>
        <w:t>подушевые</w:t>
      </w:r>
      <w:proofErr w:type="spellEnd"/>
      <w:r>
        <w:rPr>
          <w:sz w:val="28"/>
          <w:szCs w:val="28"/>
        </w:rPr>
        <w:t xml:space="preserve"> нормативы финансирования медицинской помощи в амбулаторных условиях» к   Тарифному соглашению изложить в новой редакции (приложение № 4 к настоящему Дополнительному соглашению).</w:t>
      </w:r>
    </w:p>
    <w:p w:rsidR="00A63CF9" w:rsidRDefault="00A63CF9">
      <w:pPr>
        <w:pStyle w:val="ConsPlusNormal"/>
        <w:rPr>
          <w:color w:val="000000" w:themeColor="text1"/>
          <w:sz w:val="28"/>
          <w:szCs w:val="28"/>
        </w:rPr>
      </w:pP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  Приложение № 18 «Перечень клинико-статистических групп заболеваний (КСГ), коэффициенты относительной затратоемкости КСГ, поправочные коэффициенты (для медицинской помощи, оказанной в стационарных условиях)» к Тарифному соглашению изложить в новой редакции (приложение № 5 к настоящему Дополнительному соглашению).</w:t>
      </w:r>
    </w:p>
    <w:p w:rsidR="00A63CF9" w:rsidRDefault="00A63CF9">
      <w:pPr>
        <w:pStyle w:val="ConsPlusNormal"/>
        <w:ind w:firstLine="567"/>
        <w:jc w:val="both"/>
        <w:rPr>
          <w:rFonts w:ascii="Times New Roman" w:hAnsi="Times New Roman" w:cs="Times New Roman"/>
          <w:color w:val="000000" w:themeColor="text1"/>
          <w:sz w:val="28"/>
          <w:szCs w:val="28"/>
        </w:rPr>
      </w:pP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BD6D4B">
        <w:rPr>
          <w:rFonts w:ascii="Times New Roman" w:hAnsi="Times New Roman" w:cs="Times New Roman"/>
          <w:color w:val="000000" w:themeColor="text1"/>
          <w:sz w:val="28"/>
          <w:szCs w:val="28"/>
        </w:rPr>
        <w:t xml:space="preserve"> </w:t>
      </w:r>
      <w:r>
        <w:rPr>
          <w:color w:val="000000" w:themeColor="text1"/>
        </w:rPr>
        <w:t xml:space="preserve"> </w:t>
      </w:r>
      <w:r>
        <w:rPr>
          <w:rFonts w:ascii="Times New Roman" w:hAnsi="Times New Roman" w:cs="Times New Roman"/>
          <w:color w:val="000000" w:themeColor="text1"/>
          <w:sz w:val="28"/>
          <w:szCs w:val="28"/>
        </w:rPr>
        <w:t>Приложение № 20 «Перечень случаев, для которых установлен коэффициент сложности лечения пациента» к Тарифному соглашению изложить в новой редакции (приложение № 6 к настоящему Дополнительному соглашению).</w:t>
      </w:r>
    </w:p>
    <w:p w:rsidR="00A63CF9" w:rsidRDefault="00A63CF9">
      <w:pPr>
        <w:pStyle w:val="ConsPlusNormal"/>
        <w:ind w:firstLine="567"/>
        <w:jc w:val="both"/>
        <w:rPr>
          <w:rFonts w:ascii="Times New Roman" w:hAnsi="Times New Roman" w:cs="Times New Roman"/>
          <w:color w:val="000000" w:themeColor="text1"/>
          <w:sz w:val="28"/>
          <w:szCs w:val="28"/>
        </w:rPr>
      </w:pP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w:t>
      </w:r>
      <w:r w:rsidR="00BD6D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Приложение № 21 «Перечень клинико-статистических групп заболеваний (КСГ), коэффициенты относительной затратоемкости КСГ, поправочные коэффициенты (для медицинской помощи, оказанной в условиях дневного стационара)» к Тарифному соглашению изложить в новой редакции (приложение № 7 к настоящему Дополнительному соглашению).</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 </w:t>
      </w:r>
      <w:r w:rsidR="00BD6D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Приложение № 23 «Перечень КСГ круглосуточного стационара, по которым осуществляется оплата в полном объеме независимо от длительности лечения» к Тарифному соглашению изложить в новой редакции (приложение № 8 к настоящему Дополнительному соглашению).</w:t>
      </w:r>
    </w:p>
    <w:p w:rsidR="00A63CF9" w:rsidRDefault="00A63CF9">
      <w:pPr>
        <w:pStyle w:val="ConsPlusNormal"/>
        <w:ind w:firstLine="567"/>
        <w:jc w:val="both"/>
        <w:rPr>
          <w:rFonts w:ascii="Times New Roman" w:hAnsi="Times New Roman" w:cs="Times New Roman"/>
          <w:color w:val="000000" w:themeColor="text1"/>
          <w:sz w:val="28"/>
          <w:szCs w:val="28"/>
        </w:rPr>
      </w:pP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BD6D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Приложение № 24 «Перечень КСГ дневного стационара, по которым осуществляется оплата в полном объеме независимо от длительности лечения» к Тарифному соглашению изложить в новой редакции (приложение № 9 к настоящему Дополнительному соглашению).</w:t>
      </w:r>
    </w:p>
    <w:p w:rsidR="00A63CF9" w:rsidRDefault="007E7E15">
      <w:pPr>
        <w:pStyle w:val="ConsPlusNormal"/>
        <w:spacing w:before="220"/>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25.</w:t>
      </w:r>
      <w:r w:rsidR="00BD6D4B">
        <w:rPr>
          <w:rFonts w:ascii="Times New Roman" w:hAnsi="Times New Roman" w:cs="Times New Roman"/>
          <w:color w:val="000000" w:themeColor="text1"/>
          <w:sz w:val="28"/>
          <w:szCs w:val="28"/>
        </w:rPr>
        <w:t xml:space="preserve"> </w:t>
      </w:r>
      <w:r>
        <w:t xml:space="preserve"> </w:t>
      </w:r>
      <w:hyperlink w:anchor="P28587">
        <w:r>
          <w:rPr>
            <w:rFonts w:ascii="Times New Roman" w:hAnsi="Times New Roman" w:cs="Times New Roman"/>
            <w:sz w:val="28"/>
            <w:szCs w:val="28"/>
          </w:rPr>
          <w:t xml:space="preserve">Приложение № </w:t>
        </w:r>
      </w:hyperlink>
      <w:r>
        <w:rPr>
          <w:rFonts w:ascii="Times New Roman" w:hAnsi="Times New Roman" w:cs="Times New Roman"/>
          <w:sz w:val="28"/>
          <w:szCs w:val="28"/>
        </w:rPr>
        <w:t>27 "Перечень расходов на оказание медицинской помощи, оказываемой в амбулаторных условиях, финансовое обеспечение которых осуществляется вне подушевого норматива финансирования" к Тарифному соглашению изложить в новой редакции (приложение № 10 к настоящему Дополнительному соглашению).</w:t>
      </w:r>
    </w:p>
    <w:p w:rsidR="00A63CF9" w:rsidRDefault="00A63CF9">
      <w:pPr>
        <w:pStyle w:val="ConsPlusNormal"/>
        <w:ind w:firstLine="567"/>
        <w:jc w:val="both"/>
        <w:rPr>
          <w:rFonts w:ascii="Times New Roman" w:hAnsi="Times New Roman" w:cs="Times New Roman"/>
          <w:color w:val="000000" w:themeColor="text1"/>
          <w:sz w:val="28"/>
          <w:szCs w:val="28"/>
        </w:rPr>
      </w:pPr>
    </w:p>
    <w:p w:rsidR="00A63CF9" w:rsidRDefault="007E7E15">
      <w:pPr>
        <w:ind w:right="142" w:firstLine="567"/>
        <w:jc w:val="both"/>
        <w:rPr>
          <w:color w:val="000000" w:themeColor="text1"/>
          <w:sz w:val="28"/>
          <w:szCs w:val="28"/>
        </w:rPr>
      </w:pPr>
      <w:r>
        <w:rPr>
          <w:color w:val="000000" w:themeColor="text1"/>
          <w:sz w:val="28"/>
          <w:szCs w:val="28"/>
        </w:rPr>
        <w:t>26. Приложение № 28 «Перечень фельдшерских здравпунктов, фельдшерско-акушерских пунктов» к Тарифному соглашению изложить в новой редакции (приложение № 11 к настоящему Дополнительному соглашению).</w:t>
      </w:r>
    </w:p>
    <w:p w:rsidR="00A63CF9" w:rsidRDefault="00A63CF9">
      <w:pPr>
        <w:ind w:right="142" w:firstLine="567"/>
        <w:jc w:val="both"/>
        <w:rPr>
          <w:color w:val="000000" w:themeColor="text1"/>
          <w:sz w:val="28"/>
          <w:szCs w:val="28"/>
        </w:rPr>
      </w:pPr>
    </w:p>
    <w:p w:rsidR="00860E56" w:rsidRDefault="007E7E15">
      <w:pPr>
        <w:ind w:right="142"/>
        <w:jc w:val="both"/>
        <w:rPr>
          <w:sz w:val="28"/>
          <w:szCs w:val="28"/>
        </w:rPr>
      </w:pPr>
      <w:r>
        <w:rPr>
          <w:sz w:val="28"/>
          <w:szCs w:val="28"/>
        </w:rPr>
        <w:t xml:space="preserve">       </w:t>
      </w:r>
    </w:p>
    <w:p w:rsidR="00860E56" w:rsidRDefault="00860E56" w:rsidP="00860E56">
      <w:pPr>
        <w:ind w:right="142" w:firstLine="567"/>
        <w:jc w:val="both"/>
        <w:rPr>
          <w:sz w:val="28"/>
          <w:szCs w:val="28"/>
        </w:rPr>
      </w:pPr>
    </w:p>
    <w:p w:rsidR="005D72E3" w:rsidRDefault="007E7E15" w:rsidP="00860E56">
      <w:pPr>
        <w:ind w:right="142" w:firstLine="567"/>
        <w:jc w:val="both"/>
        <w:rPr>
          <w:sz w:val="28"/>
          <w:szCs w:val="28"/>
        </w:rPr>
      </w:pPr>
      <w:r>
        <w:rPr>
          <w:sz w:val="28"/>
          <w:szCs w:val="28"/>
        </w:rPr>
        <w:t xml:space="preserve">27. Приложение № 29 «Перечень медицинских организаций, оказывающих медицинскую помощь в амбулаторных, стационарных </w:t>
      </w:r>
      <w:proofErr w:type="gramStart"/>
      <w:r>
        <w:rPr>
          <w:sz w:val="28"/>
          <w:szCs w:val="28"/>
        </w:rPr>
        <w:t>условиях,  в</w:t>
      </w:r>
      <w:proofErr w:type="gramEnd"/>
      <w:r>
        <w:rPr>
          <w:sz w:val="28"/>
          <w:szCs w:val="28"/>
        </w:rPr>
        <w:t xml:space="preserve">  условиях дневного стационара, имеющих прикрепившихся лиц, оплата медицинской помощи в которых осуществляется по подушевому нормативу </w:t>
      </w:r>
      <w:r w:rsidR="005D72E3">
        <w:rPr>
          <w:sz w:val="28"/>
          <w:szCs w:val="28"/>
        </w:rPr>
        <w:t xml:space="preserve">  </w:t>
      </w:r>
      <w:r>
        <w:rPr>
          <w:sz w:val="28"/>
          <w:szCs w:val="28"/>
        </w:rPr>
        <w:t>финансирования</w:t>
      </w:r>
      <w:r w:rsidR="005D72E3">
        <w:rPr>
          <w:sz w:val="28"/>
          <w:szCs w:val="28"/>
        </w:rPr>
        <w:t xml:space="preserve">   </w:t>
      </w:r>
      <w:r>
        <w:rPr>
          <w:sz w:val="28"/>
          <w:szCs w:val="28"/>
        </w:rPr>
        <w:t xml:space="preserve"> на </w:t>
      </w:r>
      <w:r w:rsidR="005D72E3">
        <w:rPr>
          <w:sz w:val="28"/>
          <w:szCs w:val="28"/>
        </w:rPr>
        <w:t xml:space="preserve"> </w:t>
      </w:r>
      <w:r>
        <w:rPr>
          <w:sz w:val="28"/>
          <w:szCs w:val="28"/>
        </w:rPr>
        <w:t>прикрепившихся</w:t>
      </w:r>
      <w:r w:rsidR="005D72E3">
        <w:rPr>
          <w:sz w:val="28"/>
          <w:szCs w:val="28"/>
        </w:rPr>
        <w:t xml:space="preserve">    </w:t>
      </w:r>
      <w:r>
        <w:rPr>
          <w:sz w:val="28"/>
          <w:szCs w:val="28"/>
        </w:rPr>
        <w:t xml:space="preserve"> к</w:t>
      </w:r>
      <w:r w:rsidR="005D72E3">
        <w:rPr>
          <w:sz w:val="28"/>
          <w:szCs w:val="28"/>
        </w:rPr>
        <w:t xml:space="preserve">   </w:t>
      </w:r>
      <w:r>
        <w:rPr>
          <w:sz w:val="28"/>
          <w:szCs w:val="28"/>
        </w:rPr>
        <w:t xml:space="preserve"> данной </w:t>
      </w:r>
    </w:p>
    <w:p w:rsidR="00A63CF9" w:rsidRDefault="007E7E15">
      <w:pPr>
        <w:ind w:right="142"/>
        <w:jc w:val="both"/>
        <w:rPr>
          <w:sz w:val="28"/>
          <w:szCs w:val="28"/>
        </w:rPr>
      </w:pPr>
      <w:r>
        <w:rPr>
          <w:sz w:val="28"/>
          <w:szCs w:val="28"/>
        </w:rPr>
        <w:t>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к Тарифному соглашению изложить в новой редакции (приложение № 12 к настоящему Дополнительному соглашению).</w:t>
      </w:r>
    </w:p>
    <w:p w:rsidR="00A63CF9" w:rsidRDefault="00A63CF9">
      <w:pPr>
        <w:ind w:right="142"/>
        <w:jc w:val="both"/>
        <w:rPr>
          <w:sz w:val="28"/>
          <w:szCs w:val="28"/>
        </w:rPr>
      </w:pPr>
    </w:p>
    <w:p w:rsidR="00A63CF9" w:rsidRDefault="007E7E15">
      <w:pPr>
        <w:tabs>
          <w:tab w:val="left" w:pos="709"/>
        </w:tabs>
        <w:ind w:right="142"/>
        <w:jc w:val="both"/>
        <w:rPr>
          <w:sz w:val="28"/>
          <w:szCs w:val="28"/>
        </w:rPr>
      </w:pPr>
      <w:r>
        <w:rPr>
          <w:sz w:val="28"/>
          <w:szCs w:val="28"/>
        </w:rPr>
        <w:t xml:space="preserve">        28. Приложение № 31 «Дифференцированные подушевые нормативы финансирования медицинской помощи по всем видам и условиям предоставляемой медицинской помощи» к Тарифному соглашению изложить в новой редакции (приложение № 13 к настоящему Дополнительному соглашению).</w:t>
      </w:r>
    </w:p>
    <w:p w:rsidR="00A63CF9" w:rsidRDefault="00A63CF9">
      <w:pPr>
        <w:ind w:right="142" w:firstLine="567"/>
        <w:jc w:val="both"/>
        <w:rPr>
          <w:color w:val="000000" w:themeColor="text1"/>
          <w:sz w:val="28"/>
          <w:szCs w:val="28"/>
        </w:rPr>
      </w:pP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  Приложение № 33 «Доля заработной платы и прочих расходов в структуре стоимости КСГ круглосуточного стационара» к Тарифному соглашению изложить в новой редакции (приложение № 14 к настоящему Дополнительному соглашению).</w:t>
      </w:r>
    </w:p>
    <w:p w:rsidR="00A63CF9" w:rsidRDefault="00A63CF9">
      <w:pPr>
        <w:pStyle w:val="ConsPlusNormal"/>
        <w:ind w:firstLine="567"/>
        <w:jc w:val="both"/>
        <w:rPr>
          <w:rFonts w:ascii="Times New Roman" w:hAnsi="Times New Roman" w:cs="Times New Roman"/>
          <w:color w:val="000000" w:themeColor="text1"/>
          <w:sz w:val="28"/>
          <w:szCs w:val="28"/>
        </w:rPr>
      </w:pP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  Приложение № 34 «Доля заработной платы и прочих расходов в структуре стоимости КСГ дневного стационара» к Тарифному соглашению изложить в новой редакции (приложение № 15 к настоящему Дополнительному соглашению).</w:t>
      </w:r>
    </w:p>
    <w:p w:rsidR="00A63CF9" w:rsidRDefault="00A63CF9">
      <w:pPr>
        <w:pStyle w:val="ConsPlusNormal"/>
        <w:ind w:firstLine="567"/>
        <w:jc w:val="both"/>
        <w:rPr>
          <w:rFonts w:ascii="Times New Roman" w:hAnsi="Times New Roman" w:cs="Times New Roman"/>
          <w:color w:val="000000" w:themeColor="text1"/>
          <w:sz w:val="28"/>
          <w:szCs w:val="28"/>
        </w:rPr>
      </w:pP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 Приложение № 35 «Перечень КСГ, которые предполагают хирургическое вмешательство или </w:t>
      </w:r>
      <w:proofErr w:type="spellStart"/>
      <w:r>
        <w:rPr>
          <w:rFonts w:ascii="Times New Roman" w:hAnsi="Times New Roman" w:cs="Times New Roman"/>
          <w:color w:val="000000" w:themeColor="text1"/>
          <w:sz w:val="28"/>
          <w:szCs w:val="28"/>
        </w:rPr>
        <w:t>тромболитическую</w:t>
      </w:r>
      <w:proofErr w:type="spellEnd"/>
      <w:r>
        <w:rPr>
          <w:rFonts w:ascii="Times New Roman" w:hAnsi="Times New Roman" w:cs="Times New Roman"/>
          <w:color w:val="000000" w:themeColor="text1"/>
          <w:sz w:val="28"/>
          <w:szCs w:val="28"/>
        </w:rPr>
        <w:t xml:space="preserve"> терапию в условиях круглосуточного стационара» к Тарифному соглашению изложить в новой редакции (приложение № 16 к настоящему Дополнительному соглашению).</w:t>
      </w:r>
    </w:p>
    <w:p w:rsidR="00A63CF9" w:rsidRDefault="00A63CF9">
      <w:pPr>
        <w:pStyle w:val="ConsPlusNormal"/>
        <w:ind w:firstLine="567"/>
        <w:jc w:val="both"/>
        <w:rPr>
          <w:rFonts w:ascii="Times New Roman" w:hAnsi="Times New Roman" w:cs="Times New Roman"/>
          <w:color w:val="000000" w:themeColor="text1"/>
          <w:sz w:val="28"/>
          <w:szCs w:val="28"/>
        </w:rPr>
      </w:pPr>
    </w:p>
    <w:p w:rsidR="00A63CF9" w:rsidRDefault="007E7E15">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 Приложение № 36 «Перечень КСГ, которые предполагают хирургическое вмешательство или </w:t>
      </w:r>
      <w:proofErr w:type="spellStart"/>
      <w:r>
        <w:rPr>
          <w:rFonts w:ascii="Times New Roman" w:hAnsi="Times New Roman" w:cs="Times New Roman"/>
          <w:color w:val="000000" w:themeColor="text1"/>
          <w:sz w:val="28"/>
          <w:szCs w:val="28"/>
        </w:rPr>
        <w:t>тромболитическую</w:t>
      </w:r>
      <w:proofErr w:type="spellEnd"/>
      <w:r>
        <w:rPr>
          <w:rFonts w:ascii="Times New Roman" w:hAnsi="Times New Roman" w:cs="Times New Roman"/>
          <w:color w:val="000000" w:themeColor="text1"/>
          <w:sz w:val="28"/>
          <w:szCs w:val="28"/>
        </w:rPr>
        <w:t xml:space="preserve"> терапию в условиях дневного стационара» к Тарифному соглашению изложить в новой редакции (приложение № 17 к настоящему Дополнительному соглашению).</w:t>
      </w:r>
    </w:p>
    <w:p w:rsidR="00566265" w:rsidRDefault="007E7E15" w:rsidP="00860E56">
      <w:pPr>
        <w:tabs>
          <w:tab w:val="left" w:pos="709"/>
        </w:tabs>
        <w:ind w:right="142"/>
        <w:jc w:val="both"/>
        <w:rPr>
          <w:sz w:val="28"/>
          <w:szCs w:val="28"/>
        </w:rPr>
      </w:pPr>
      <w:r>
        <w:rPr>
          <w:sz w:val="28"/>
          <w:szCs w:val="28"/>
        </w:rPr>
        <w:tab/>
      </w:r>
    </w:p>
    <w:p w:rsidR="00A63CF9" w:rsidRDefault="007E7E15">
      <w:pPr>
        <w:tabs>
          <w:tab w:val="left" w:pos="709"/>
        </w:tabs>
        <w:ind w:right="142"/>
        <w:jc w:val="both"/>
        <w:rPr>
          <w:color w:val="000000" w:themeColor="text1"/>
          <w:sz w:val="28"/>
          <w:szCs w:val="28"/>
        </w:rPr>
      </w:pPr>
      <w:r>
        <w:rPr>
          <w:color w:val="000000" w:themeColor="text1"/>
          <w:sz w:val="28"/>
          <w:szCs w:val="28"/>
        </w:rPr>
        <w:t xml:space="preserve">         3</w:t>
      </w:r>
      <w:r w:rsidR="00704AAE">
        <w:rPr>
          <w:color w:val="000000" w:themeColor="text1"/>
          <w:sz w:val="28"/>
          <w:szCs w:val="28"/>
        </w:rPr>
        <w:t>3</w:t>
      </w:r>
      <w:r>
        <w:rPr>
          <w:color w:val="000000" w:themeColor="text1"/>
          <w:sz w:val="28"/>
          <w:szCs w:val="28"/>
        </w:rPr>
        <w:t>.   Настоящее Дополнительное соглашение вступает в силу с момента его подписания и распространяется на правоотношения при оплате медицинской помощи, оказанной с 1 февраля 2025 года.</w:t>
      </w:r>
    </w:p>
    <w:p w:rsidR="00A63CF9" w:rsidRDefault="00A63CF9">
      <w:pPr>
        <w:tabs>
          <w:tab w:val="left" w:pos="709"/>
        </w:tabs>
        <w:ind w:right="142"/>
        <w:jc w:val="both"/>
        <w:rPr>
          <w:color w:val="000000" w:themeColor="text1"/>
          <w:sz w:val="28"/>
          <w:szCs w:val="28"/>
        </w:rPr>
      </w:pPr>
    </w:p>
    <w:p w:rsidR="00A63CF9" w:rsidRDefault="007E7E15">
      <w:pPr>
        <w:tabs>
          <w:tab w:val="left" w:pos="709"/>
          <w:tab w:val="left" w:pos="9781"/>
          <w:tab w:val="left" w:pos="9923"/>
        </w:tabs>
        <w:ind w:right="142"/>
        <w:jc w:val="both"/>
        <w:rPr>
          <w:color w:val="000000" w:themeColor="text1"/>
          <w:sz w:val="28"/>
          <w:szCs w:val="28"/>
        </w:rPr>
      </w:pPr>
      <w:r>
        <w:rPr>
          <w:color w:val="000000" w:themeColor="text1"/>
          <w:sz w:val="28"/>
          <w:szCs w:val="28"/>
        </w:rPr>
        <w:t xml:space="preserve">         3</w:t>
      </w:r>
      <w:r w:rsidR="00704AAE">
        <w:rPr>
          <w:color w:val="000000" w:themeColor="text1"/>
          <w:sz w:val="28"/>
          <w:szCs w:val="28"/>
        </w:rPr>
        <w:t>4</w:t>
      </w:r>
      <w:bookmarkStart w:id="0" w:name="_GoBack"/>
      <w:bookmarkEnd w:id="0"/>
      <w:r>
        <w:rPr>
          <w:color w:val="000000" w:themeColor="text1"/>
          <w:sz w:val="28"/>
          <w:szCs w:val="28"/>
        </w:rPr>
        <w:t xml:space="preserve">.   Настоящее     Дополнительное      соглашение       составлено      в   </w:t>
      </w:r>
    </w:p>
    <w:p w:rsidR="00A63CF9" w:rsidRDefault="00A63CF9">
      <w:pPr>
        <w:tabs>
          <w:tab w:val="left" w:pos="709"/>
          <w:tab w:val="left" w:pos="9781"/>
          <w:tab w:val="left" w:pos="9923"/>
        </w:tabs>
        <w:ind w:right="142"/>
        <w:jc w:val="both"/>
        <w:rPr>
          <w:color w:val="000000" w:themeColor="text1"/>
          <w:sz w:val="28"/>
          <w:szCs w:val="28"/>
        </w:rPr>
      </w:pPr>
    </w:p>
    <w:p w:rsidR="00A63CF9" w:rsidRDefault="007E7E15">
      <w:pPr>
        <w:tabs>
          <w:tab w:val="left" w:pos="709"/>
          <w:tab w:val="left" w:pos="9781"/>
          <w:tab w:val="left" w:pos="9923"/>
        </w:tabs>
        <w:ind w:right="142"/>
        <w:jc w:val="both"/>
        <w:rPr>
          <w:color w:val="000000" w:themeColor="text1"/>
          <w:sz w:val="28"/>
          <w:szCs w:val="28"/>
        </w:rPr>
      </w:pPr>
      <w:r>
        <w:rPr>
          <w:color w:val="000000" w:themeColor="text1"/>
          <w:sz w:val="28"/>
          <w:szCs w:val="28"/>
        </w:rPr>
        <w:t>пяти экземплярах, имеющих одинаковую юридическую силу, по одному каждой из Сторон.</w:t>
      </w:r>
    </w:p>
    <w:p w:rsidR="00A63CF9" w:rsidRDefault="00A63CF9">
      <w:pPr>
        <w:ind w:right="142"/>
        <w:jc w:val="center"/>
        <w:rPr>
          <w:color w:val="000000" w:themeColor="text1"/>
          <w:sz w:val="28"/>
          <w:szCs w:val="28"/>
        </w:rPr>
      </w:pPr>
    </w:p>
    <w:p w:rsidR="00A63CF9" w:rsidRDefault="007E7E15">
      <w:pPr>
        <w:ind w:right="142"/>
        <w:jc w:val="center"/>
        <w:rPr>
          <w:color w:val="000000" w:themeColor="text1"/>
          <w:sz w:val="28"/>
          <w:szCs w:val="28"/>
        </w:rPr>
      </w:pPr>
      <w:r>
        <w:rPr>
          <w:color w:val="000000" w:themeColor="text1"/>
          <w:sz w:val="28"/>
          <w:szCs w:val="28"/>
        </w:rPr>
        <w:t>ПОДПИСИ СТОРОН</w:t>
      </w:r>
    </w:p>
    <w:p w:rsidR="00A63CF9" w:rsidRDefault="00A63CF9" w:rsidP="00566265">
      <w:pPr>
        <w:widowControl w:val="0"/>
        <w:ind w:left="567"/>
        <w:rPr>
          <w:color w:val="000000" w:themeColor="text1"/>
          <w:sz w:val="28"/>
          <w:szCs w:val="28"/>
        </w:rPr>
      </w:pPr>
    </w:p>
    <w:p w:rsidR="00A63CF9" w:rsidRDefault="00A63CF9">
      <w:pPr>
        <w:widowControl w:val="0"/>
        <w:ind w:left="426" w:right="142" w:firstLine="141"/>
        <w:rPr>
          <w:color w:val="000000" w:themeColor="text1"/>
          <w:sz w:val="28"/>
          <w:szCs w:val="28"/>
        </w:rPr>
      </w:pPr>
    </w:p>
    <w:p w:rsidR="00A63CF9" w:rsidRDefault="007E7E15">
      <w:pPr>
        <w:widowControl w:val="0"/>
        <w:ind w:left="426" w:right="142" w:firstLine="141"/>
        <w:rPr>
          <w:color w:val="000000" w:themeColor="text1"/>
          <w:sz w:val="28"/>
          <w:szCs w:val="28"/>
        </w:rPr>
      </w:pPr>
      <w:r>
        <w:rPr>
          <w:color w:val="000000" w:themeColor="text1"/>
          <w:sz w:val="28"/>
          <w:szCs w:val="28"/>
        </w:rPr>
        <w:t>____________А.А. Модестов                      __________Е.В. Градобоев</w:t>
      </w:r>
    </w:p>
    <w:p w:rsidR="00A63CF9" w:rsidRDefault="007E7E15">
      <w:pPr>
        <w:widowControl w:val="0"/>
        <w:ind w:left="567" w:right="142"/>
        <w:rPr>
          <w:color w:val="000000" w:themeColor="text1"/>
          <w:sz w:val="28"/>
          <w:szCs w:val="28"/>
        </w:rPr>
      </w:pPr>
      <w:r>
        <w:rPr>
          <w:color w:val="000000" w:themeColor="text1"/>
          <w:sz w:val="28"/>
          <w:szCs w:val="28"/>
        </w:rPr>
        <w:t xml:space="preserve"> </w:t>
      </w:r>
    </w:p>
    <w:p w:rsidR="00A63CF9" w:rsidRDefault="007E7E15">
      <w:pPr>
        <w:widowControl w:val="0"/>
        <w:ind w:left="567" w:right="142"/>
        <w:rPr>
          <w:color w:val="000000" w:themeColor="text1"/>
          <w:sz w:val="28"/>
          <w:szCs w:val="28"/>
        </w:rPr>
      </w:pPr>
      <w:r>
        <w:rPr>
          <w:color w:val="000000" w:themeColor="text1"/>
          <w:sz w:val="28"/>
          <w:szCs w:val="28"/>
        </w:rPr>
        <w:t xml:space="preserve">____________ К.В. </w:t>
      </w:r>
      <w:proofErr w:type="spellStart"/>
      <w:r>
        <w:rPr>
          <w:color w:val="000000" w:themeColor="text1"/>
          <w:sz w:val="28"/>
          <w:szCs w:val="28"/>
        </w:rPr>
        <w:t>Сосова</w:t>
      </w:r>
      <w:proofErr w:type="spellEnd"/>
      <w:r>
        <w:rPr>
          <w:color w:val="000000" w:themeColor="text1"/>
          <w:sz w:val="28"/>
          <w:szCs w:val="28"/>
        </w:rPr>
        <w:t xml:space="preserve">                          __________С.В. Никифорова</w:t>
      </w:r>
    </w:p>
    <w:p w:rsidR="00A63CF9" w:rsidRDefault="00A63CF9">
      <w:pPr>
        <w:widowControl w:val="0"/>
        <w:ind w:left="567" w:right="142"/>
        <w:rPr>
          <w:color w:val="000000" w:themeColor="text1"/>
          <w:sz w:val="28"/>
          <w:szCs w:val="28"/>
        </w:rPr>
      </w:pPr>
    </w:p>
    <w:p w:rsidR="00A63CF9" w:rsidRDefault="007E7E15">
      <w:pPr>
        <w:widowControl w:val="0"/>
        <w:ind w:left="567" w:right="142"/>
        <w:rPr>
          <w:color w:val="000000" w:themeColor="text1"/>
          <w:sz w:val="28"/>
          <w:szCs w:val="28"/>
        </w:rPr>
      </w:pPr>
      <w:r>
        <w:rPr>
          <w:color w:val="000000" w:themeColor="text1"/>
          <w:sz w:val="28"/>
          <w:szCs w:val="28"/>
        </w:rPr>
        <w:t xml:space="preserve">____________ Г.М. Гайдаров   </w:t>
      </w:r>
    </w:p>
    <w:p w:rsidR="00A63CF9" w:rsidRDefault="00A63CF9">
      <w:pPr>
        <w:widowControl w:val="0"/>
        <w:ind w:right="142"/>
        <w:rPr>
          <w:color w:val="000000" w:themeColor="text1"/>
          <w:sz w:val="28"/>
          <w:szCs w:val="28"/>
        </w:rPr>
      </w:pPr>
    </w:p>
    <w:p w:rsidR="00A63CF9" w:rsidRDefault="00A63CF9">
      <w:pPr>
        <w:widowControl w:val="0"/>
        <w:rPr>
          <w:color w:val="000000" w:themeColor="text1"/>
          <w:sz w:val="28"/>
          <w:szCs w:val="28"/>
        </w:rPr>
      </w:pPr>
    </w:p>
    <w:p w:rsidR="00A63CF9" w:rsidRDefault="007E7E15">
      <w:pPr>
        <w:widowControl w:val="0"/>
        <w:tabs>
          <w:tab w:val="left" w:pos="9639"/>
        </w:tabs>
        <w:ind w:right="-142"/>
        <w:rPr>
          <w:color w:val="000000" w:themeColor="text1"/>
          <w:sz w:val="28"/>
          <w:szCs w:val="28"/>
        </w:rPr>
      </w:pPr>
      <w:r>
        <w:rPr>
          <w:color w:val="000000" w:themeColor="text1"/>
          <w:sz w:val="28"/>
          <w:szCs w:val="28"/>
        </w:rPr>
        <w:t xml:space="preserve">     </w:t>
      </w: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A63CF9">
      <w:pPr>
        <w:widowControl w:val="0"/>
        <w:tabs>
          <w:tab w:val="left" w:pos="9639"/>
        </w:tabs>
        <w:ind w:right="-142"/>
        <w:rPr>
          <w:color w:val="000000" w:themeColor="text1"/>
          <w:sz w:val="28"/>
          <w:szCs w:val="28"/>
        </w:rPr>
      </w:pPr>
    </w:p>
    <w:p w:rsidR="00A63CF9" w:rsidRDefault="007E7E15">
      <w:pPr>
        <w:widowControl w:val="0"/>
        <w:ind w:right="-142"/>
        <w:rPr>
          <w:color w:val="000000" w:themeColor="text1"/>
          <w:sz w:val="28"/>
          <w:szCs w:val="28"/>
        </w:rPr>
      </w:pPr>
      <w:r>
        <w:rPr>
          <w:color w:val="000000" w:themeColor="text1"/>
          <w:sz w:val="28"/>
          <w:szCs w:val="28"/>
        </w:rPr>
        <w:t>Согласовано:</w:t>
      </w:r>
    </w:p>
    <w:p w:rsidR="00A63CF9" w:rsidRDefault="00A63CF9">
      <w:pPr>
        <w:widowControl w:val="0"/>
        <w:ind w:right="-142"/>
        <w:rPr>
          <w:color w:val="000000" w:themeColor="text1"/>
          <w:sz w:val="28"/>
          <w:szCs w:val="28"/>
        </w:rPr>
      </w:pPr>
    </w:p>
    <w:p w:rsidR="00A63CF9" w:rsidRDefault="007E7E15">
      <w:pPr>
        <w:widowControl w:val="0"/>
        <w:ind w:right="-142"/>
        <w:rPr>
          <w:color w:val="000000" w:themeColor="text1"/>
          <w:sz w:val="28"/>
          <w:szCs w:val="28"/>
        </w:rPr>
      </w:pPr>
      <w:r>
        <w:rPr>
          <w:color w:val="000000" w:themeColor="text1"/>
          <w:sz w:val="28"/>
          <w:szCs w:val="28"/>
        </w:rPr>
        <w:t>Заместитель директора по организации ОМС                          О.В. Стрельцова</w:t>
      </w:r>
    </w:p>
    <w:p w:rsidR="00A63CF9" w:rsidRDefault="00A63CF9">
      <w:pPr>
        <w:widowControl w:val="0"/>
        <w:ind w:right="-142"/>
        <w:rPr>
          <w:color w:val="000000" w:themeColor="text1"/>
          <w:sz w:val="28"/>
          <w:szCs w:val="28"/>
        </w:rPr>
      </w:pPr>
    </w:p>
    <w:p w:rsidR="00A63CF9" w:rsidRDefault="007E7E15">
      <w:pPr>
        <w:widowControl w:val="0"/>
        <w:ind w:right="-142"/>
        <w:rPr>
          <w:color w:val="000000" w:themeColor="text1"/>
          <w:sz w:val="28"/>
          <w:szCs w:val="28"/>
        </w:rPr>
      </w:pPr>
      <w:r>
        <w:rPr>
          <w:color w:val="000000" w:themeColor="text1"/>
          <w:sz w:val="28"/>
          <w:szCs w:val="28"/>
        </w:rPr>
        <w:t xml:space="preserve">Заместитель директора по экономическим вопросам               А.В. </w:t>
      </w:r>
      <w:proofErr w:type="spellStart"/>
      <w:r>
        <w:rPr>
          <w:color w:val="000000" w:themeColor="text1"/>
          <w:sz w:val="28"/>
          <w:szCs w:val="28"/>
        </w:rPr>
        <w:t>Бубнова</w:t>
      </w:r>
      <w:proofErr w:type="spellEnd"/>
    </w:p>
    <w:p w:rsidR="00A63CF9" w:rsidRDefault="00A63CF9">
      <w:pPr>
        <w:widowControl w:val="0"/>
        <w:ind w:right="-142"/>
        <w:rPr>
          <w:color w:val="000000" w:themeColor="text1"/>
          <w:sz w:val="28"/>
          <w:szCs w:val="28"/>
        </w:rPr>
      </w:pPr>
    </w:p>
    <w:p w:rsidR="00A63CF9" w:rsidRDefault="007E7E15">
      <w:pPr>
        <w:widowControl w:val="0"/>
        <w:tabs>
          <w:tab w:val="left" w:pos="9639"/>
        </w:tabs>
        <w:ind w:right="-142"/>
        <w:rPr>
          <w:color w:val="000000" w:themeColor="text1"/>
          <w:sz w:val="28"/>
          <w:szCs w:val="28"/>
        </w:rPr>
      </w:pPr>
      <w:r>
        <w:rPr>
          <w:color w:val="000000" w:themeColor="text1"/>
          <w:sz w:val="28"/>
          <w:szCs w:val="28"/>
        </w:rPr>
        <w:t>Начальник юридического отдела                                                А.А. Шатрова</w:t>
      </w:r>
    </w:p>
    <w:p w:rsidR="00A63CF9" w:rsidRDefault="00A63CF9">
      <w:pPr>
        <w:widowControl w:val="0"/>
        <w:ind w:right="-142"/>
        <w:rPr>
          <w:color w:val="000000" w:themeColor="text1"/>
          <w:sz w:val="28"/>
          <w:szCs w:val="28"/>
        </w:rPr>
      </w:pPr>
    </w:p>
    <w:p w:rsidR="00A63CF9" w:rsidRDefault="007E7E15">
      <w:pPr>
        <w:widowControl w:val="0"/>
        <w:ind w:right="-142"/>
        <w:rPr>
          <w:color w:val="000000" w:themeColor="text1"/>
          <w:sz w:val="28"/>
          <w:szCs w:val="28"/>
        </w:rPr>
      </w:pPr>
      <w:r>
        <w:rPr>
          <w:color w:val="000000" w:themeColor="text1"/>
          <w:sz w:val="28"/>
          <w:szCs w:val="28"/>
        </w:rPr>
        <w:t xml:space="preserve">Начальник отдела </w:t>
      </w:r>
    </w:p>
    <w:p w:rsidR="00A63CF9" w:rsidRDefault="007E7E15">
      <w:pPr>
        <w:widowControl w:val="0"/>
        <w:ind w:right="-142"/>
        <w:rPr>
          <w:color w:val="000000" w:themeColor="text1"/>
          <w:sz w:val="28"/>
          <w:szCs w:val="28"/>
        </w:rPr>
      </w:pPr>
      <w:r>
        <w:rPr>
          <w:color w:val="000000" w:themeColor="text1"/>
          <w:sz w:val="28"/>
          <w:szCs w:val="28"/>
        </w:rPr>
        <w:t xml:space="preserve">организации ОМС                                                                       Ю.В. </w:t>
      </w:r>
      <w:proofErr w:type="spellStart"/>
      <w:r>
        <w:rPr>
          <w:color w:val="000000" w:themeColor="text1"/>
          <w:sz w:val="28"/>
          <w:szCs w:val="28"/>
        </w:rPr>
        <w:t>Кажарская</w:t>
      </w:r>
      <w:proofErr w:type="spellEnd"/>
      <w:r>
        <w:rPr>
          <w:color w:val="000000" w:themeColor="text1"/>
          <w:sz w:val="28"/>
          <w:szCs w:val="28"/>
        </w:rPr>
        <w:t xml:space="preserve">  </w:t>
      </w:r>
    </w:p>
    <w:p w:rsidR="00A63CF9" w:rsidRDefault="00A63CF9">
      <w:pPr>
        <w:widowControl w:val="0"/>
        <w:ind w:right="-142"/>
        <w:rPr>
          <w:color w:val="000000" w:themeColor="text1"/>
          <w:sz w:val="28"/>
          <w:szCs w:val="28"/>
        </w:rPr>
      </w:pPr>
    </w:p>
    <w:p w:rsidR="00A63CF9" w:rsidRDefault="007E7E15">
      <w:pPr>
        <w:widowControl w:val="0"/>
        <w:ind w:right="-142"/>
        <w:rPr>
          <w:color w:val="000000" w:themeColor="text1"/>
          <w:sz w:val="28"/>
          <w:szCs w:val="28"/>
        </w:rPr>
      </w:pPr>
      <w:r>
        <w:rPr>
          <w:color w:val="000000" w:themeColor="text1"/>
          <w:sz w:val="28"/>
          <w:szCs w:val="28"/>
        </w:rPr>
        <w:t>Начальник экономического отдела                                           Е.А. Егорова</w:t>
      </w:r>
    </w:p>
    <w:p w:rsidR="00A63CF9" w:rsidRDefault="00A63CF9">
      <w:pPr>
        <w:widowControl w:val="0"/>
        <w:ind w:right="-142"/>
        <w:rPr>
          <w:color w:val="000000" w:themeColor="text1"/>
          <w:sz w:val="28"/>
          <w:szCs w:val="28"/>
        </w:rPr>
      </w:pPr>
    </w:p>
    <w:p w:rsidR="00A63CF9" w:rsidRDefault="007E7E15">
      <w:pPr>
        <w:widowControl w:val="0"/>
        <w:ind w:right="-142"/>
        <w:rPr>
          <w:color w:val="000000" w:themeColor="text1"/>
          <w:sz w:val="28"/>
          <w:szCs w:val="28"/>
        </w:rPr>
      </w:pPr>
      <w:r>
        <w:rPr>
          <w:color w:val="000000" w:themeColor="text1"/>
          <w:sz w:val="28"/>
          <w:szCs w:val="28"/>
        </w:rPr>
        <w:t>Начальник ревизионного отдела                                               А.В. Лопина</w:t>
      </w:r>
    </w:p>
    <w:p w:rsidR="00A63CF9" w:rsidRDefault="00A63CF9">
      <w:pPr>
        <w:widowControl w:val="0"/>
        <w:rPr>
          <w:color w:val="000000" w:themeColor="text1"/>
          <w:sz w:val="28"/>
          <w:szCs w:val="28"/>
        </w:rPr>
      </w:pPr>
    </w:p>
    <w:p w:rsidR="00A63CF9" w:rsidRDefault="00A63CF9">
      <w:pPr>
        <w:rPr>
          <w:color w:val="000000" w:themeColor="text1"/>
          <w:sz w:val="28"/>
          <w:szCs w:val="28"/>
        </w:rPr>
      </w:pPr>
    </w:p>
    <w:sectPr w:rsidR="00A63CF9" w:rsidSect="00566265">
      <w:pgSz w:w="11905" w:h="16838" w:code="9"/>
      <w:pgMar w:top="851" w:right="990" w:bottom="567" w:left="1701"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61032"/>
    <w:multiLevelType w:val="hybridMultilevel"/>
    <w:tmpl w:val="4E384CBC"/>
    <w:lvl w:ilvl="0" w:tplc="04E63E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6B2408"/>
    <w:multiLevelType w:val="hybridMultilevel"/>
    <w:tmpl w:val="4E384CBC"/>
    <w:lvl w:ilvl="0" w:tplc="04E63E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7732402"/>
    <w:multiLevelType w:val="hybridMultilevel"/>
    <w:tmpl w:val="FAE6E9B8"/>
    <w:lvl w:ilvl="0" w:tplc="B53EB664">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1CA4503"/>
    <w:multiLevelType w:val="hybridMultilevel"/>
    <w:tmpl w:val="91D2AE1C"/>
    <w:lvl w:ilvl="0" w:tplc="2076A760">
      <w:start w:val="1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EB031C7"/>
    <w:multiLevelType w:val="hybridMultilevel"/>
    <w:tmpl w:val="C9AA0316"/>
    <w:lvl w:ilvl="0" w:tplc="D8888600">
      <w:start w:val="1"/>
      <w:numFmt w:val="bullet"/>
      <w:lvlText w:val="-"/>
      <w:lvlJc w:val="left"/>
      <w:pPr>
        <w:ind w:left="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40655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3AE27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086F9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1CA19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5287C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1CD7C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B8931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CAD20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621760E9"/>
    <w:multiLevelType w:val="hybridMultilevel"/>
    <w:tmpl w:val="4E384CBC"/>
    <w:lvl w:ilvl="0" w:tplc="04E63E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4500E97"/>
    <w:multiLevelType w:val="hybridMultilevel"/>
    <w:tmpl w:val="4E384CBC"/>
    <w:lvl w:ilvl="0" w:tplc="04E63E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61322C0"/>
    <w:multiLevelType w:val="hybridMultilevel"/>
    <w:tmpl w:val="B9A0CD70"/>
    <w:lvl w:ilvl="0" w:tplc="64EAC450">
      <w:start w:val="10"/>
      <w:numFmt w:val="decimal"/>
      <w:lvlText w:val="%1."/>
      <w:lvlJc w:val="left"/>
      <w:pPr>
        <w:ind w:left="1302" w:hanging="37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28354C7"/>
    <w:multiLevelType w:val="hybridMultilevel"/>
    <w:tmpl w:val="8B220140"/>
    <w:lvl w:ilvl="0" w:tplc="66F439CA">
      <w:start w:val="5"/>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num w:numId="1">
    <w:abstractNumId w:val="2"/>
  </w:num>
  <w:num w:numId="2">
    <w:abstractNumId w:val="7"/>
  </w:num>
  <w:num w:numId="3">
    <w:abstractNumId w:val="8"/>
  </w:num>
  <w:num w:numId="4">
    <w:abstractNumId w:val="4"/>
  </w:num>
  <w:num w:numId="5">
    <w:abstractNumId w:val="6"/>
  </w:num>
  <w:num w:numId="6">
    <w:abstractNumId w:val="1"/>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CF9"/>
    <w:rsid w:val="002D14BF"/>
    <w:rsid w:val="00566265"/>
    <w:rsid w:val="005D72E3"/>
    <w:rsid w:val="00611FD0"/>
    <w:rsid w:val="00671ED7"/>
    <w:rsid w:val="00704AAE"/>
    <w:rsid w:val="00745DDF"/>
    <w:rsid w:val="007E7E15"/>
    <w:rsid w:val="00860E56"/>
    <w:rsid w:val="008A5AA6"/>
    <w:rsid w:val="00910307"/>
    <w:rsid w:val="00A63CF9"/>
    <w:rsid w:val="00A937CC"/>
    <w:rsid w:val="00BD6D4B"/>
    <w:rsid w:val="00BE4BCA"/>
    <w:rsid w:val="00CB79D5"/>
    <w:rsid w:val="00CD5A65"/>
    <w:rsid w:val="00D94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93814-0299-428F-AAEE-AAE551E8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w:basedOn w:val="a"/>
    <w:link w:val="1"/>
    <w:pPr>
      <w:jc w:val="both"/>
    </w:pPr>
  </w:style>
  <w:style w:type="character" w:customStyle="1" w:styleId="a4">
    <w:name w:val="Основной текст Знак"/>
    <w:basedOn w:val="a0"/>
    <w:uiPriority w:val="99"/>
    <w:semiHidden/>
    <w:rPr>
      <w:rFonts w:ascii="Times New Roman" w:eastAsia="Times New Roman" w:hAnsi="Times New Roman" w:cs="Times New Roman"/>
      <w:sz w:val="24"/>
      <w:szCs w:val="24"/>
      <w:lang w:eastAsia="ru-RU"/>
    </w:rPr>
  </w:style>
  <w:style w:type="character" w:customStyle="1" w:styleId="1">
    <w:name w:val="Основной текст Знак1"/>
    <w:link w:val="a3"/>
    <w:rPr>
      <w:rFonts w:ascii="Times New Roman" w:eastAsia="Times New Roman" w:hAnsi="Times New Roman" w:cs="Times New Roman"/>
      <w:sz w:val="24"/>
      <w:szCs w:val="24"/>
      <w:lang w:eastAsia="ru-RU"/>
    </w:rPr>
  </w:style>
  <w:style w:type="paragraph" w:styleId="a5">
    <w:name w:val="No Spacing"/>
    <w:link w:val="a6"/>
    <w:uiPriority w:val="1"/>
    <w:qFormat/>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locke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Pr>
      <w:rFonts w:ascii="Segoe UI" w:hAnsi="Segoe UI" w:cs="Segoe UI"/>
      <w:sz w:val="18"/>
      <w:szCs w:val="18"/>
    </w:rPr>
  </w:style>
  <w:style w:type="character" w:customStyle="1" w:styleId="a8">
    <w:name w:val="Текст выноски Знак"/>
    <w:basedOn w:val="a0"/>
    <w:link w:val="a7"/>
    <w:uiPriority w:val="99"/>
    <w:semiHidden/>
    <w:rPr>
      <w:rFonts w:ascii="Segoe UI" w:eastAsia="Times New Roman" w:hAnsi="Segoe UI" w:cs="Segoe UI"/>
      <w:sz w:val="18"/>
      <w:szCs w:val="18"/>
      <w:lang w:eastAsia="ru-RU"/>
    </w:rPr>
  </w:style>
  <w:style w:type="paragraph" w:styleId="a9">
    <w:name w:val="List Paragraph"/>
    <w:basedOn w:val="a"/>
    <w:uiPriority w:val="34"/>
    <w:qFormat/>
    <w:pPr>
      <w:ind w:left="720"/>
      <w:contextualSpacing/>
    </w:pPr>
  </w:style>
  <w:style w:type="table" w:customStyle="1" w:styleId="TableGrid">
    <w:name w:val="TableGrid"/>
    <w:pPr>
      <w:spacing w:after="0" w:line="240" w:lineRule="auto"/>
    </w:pPr>
    <w:rPr>
      <w:rFonts w:eastAsiaTheme="minorEastAsia"/>
      <w:lang w:eastAsia="ru-RU"/>
    </w:rPr>
    <w:tblPr>
      <w:tblCellMar>
        <w:top w:w="0" w:type="dxa"/>
        <w:left w:w="0" w:type="dxa"/>
        <w:bottom w:w="0" w:type="dxa"/>
        <w:right w:w="0" w:type="dxa"/>
      </w:tblCellMar>
    </w:tblPr>
  </w:style>
  <w:style w:type="character" w:styleId="aa">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6172&amp;dst=100009" TargetMode="External"/><Relationship Id="rId3" Type="http://schemas.openxmlformats.org/officeDocument/2006/relationships/styles" Target="styles.xml"/><Relationship Id="rId7" Type="http://schemas.openxmlformats.org/officeDocument/2006/relationships/hyperlink" Target="https://login.consultant.ru/link/?req=doc&amp;base=LAW&amp;n=472753&amp;dst=1000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5422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A4667-A394-4E76-9547-537084495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22</Pages>
  <Words>7144</Words>
  <Characters>40721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TFOMS</Company>
  <LinksUpToDate>false</LinksUpToDate>
  <CharactersWithSpaces>47770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136</cp:revision>
  <cp:lastPrinted>2025-02-21T04:09:00Z</cp:lastPrinted>
  <dcterms:created xsi:type="dcterms:W3CDTF">2024-10-25T02:27:00Z</dcterms:created>
  <dcterms:modified xsi:type="dcterms:W3CDTF">2025-02-21T04:16:00Z</dcterms:modified>
</cp:coreProperties>
</file>